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Times New Roman" w:eastAsia="方正小标宋_GBK" w:cs="方正小标宋_GBK" w:hAnsi="Times New Roman" w:hint="eastAsia"/>
          <w:sz w:val="44"/>
          <w:szCs w:val="44"/>
          <w:lang w:val="en-US" w:eastAsia="zh-CN"/>
        </w:rPr>
      </w:pPr>
      <w:r>
        <w:rPr>
          <w:rFonts w:ascii="Times New Roman" w:eastAsia="方正小标宋_GBK" w:cs="方正小标宋_GBK" w:hAnsi="Times New Roman" w:hint="eastAsia"/>
          <w:sz w:val="44"/>
          <w:szCs w:val="44"/>
          <w:lang w:val="en-US" w:eastAsia="zh-CN"/>
        </w:rPr>
        <w:t>重庆市江津区城市管理局</w:t>
      </w: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Times New Roman" w:eastAsia="方正小标宋_GBK" w:cs="方正小标宋_GBK" w:hAnsi="Times New Roman" w:hint="eastAsia"/>
          <w:sz w:val="44"/>
          <w:szCs w:val="44"/>
        </w:rPr>
      </w:pPr>
      <w:r>
        <w:rPr>
          <w:rFonts w:ascii="Times New Roman" w:eastAsia="方正小标宋_GBK" w:cs="方正小标宋_GBK" w:hAnsi="Times New Roman" w:hint="eastAsia"/>
          <w:sz w:val="44"/>
          <w:szCs w:val="44"/>
        </w:rPr>
        <w:t>202</w:t>
      </w:r>
      <w:r>
        <w:rPr>
          <w:rFonts w:ascii="Times New Roman" w:eastAsia="方正小标宋_GBK" w:cs="方正小标宋_GBK" w:hAnsi="Times New Roman" w:hint="eastAsia"/>
          <w:sz w:val="44"/>
          <w:szCs w:val="44"/>
          <w:lang w:val="en-US" w:eastAsia="zh-CN"/>
        </w:rPr>
        <w:t>4年度决算公开</w:t>
      </w:r>
      <w:r>
        <w:rPr>
          <w:rFonts w:ascii="Times New Roman" w:eastAsia="方正小标宋_GBK" w:cs="方正小标宋_GBK" w:hAnsi="Times New Roman" w:hint="eastAsia"/>
          <w:sz w:val="44"/>
          <w:szCs w:val="44"/>
        </w:rPr>
        <w:t>说明</w:t>
      </w:r>
    </w:p>
    <w:p>
      <w:pPr>
        <w:keepNext w:val="0"/>
        <w:keepLines w:val="0"/>
        <w:pageBreakBefore w:val="0"/>
        <w:widowControl w:val="0"/>
        <w:kinsoku/>
        <w:wordWrap/>
        <w:overflowPunct/>
        <w:topLinePunct w:val="0"/>
        <w:autoSpaceDN/>
        <w:bidi w:val="0"/>
        <w:snapToGrid/>
        <w:spacing w:line="579" w:lineRule="exact"/>
        <w:ind w:firstLineChars="250" w:firstLine="1100"/>
        <w:textAlignment w:val="auto"/>
        <w:rPr>
          <w:rFonts w:ascii="Times New Roman" w:eastAsia="方正仿宋_GBK" w:cs="方正仿宋_GBK" w:hAnsi="Times New Roman" w:hint="eastAsia"/>
          <w:sz w:val="44"/>
          <w:szCs w:val="44"/>
        </w:rPr>
      </w:pP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outlineLvl w:val="1"/>
        <w:rPr>
          <w:rFonts w:ascii="Times New Roman" w:eastAsia="方正楷体_GBK" w:cs="方正楷体_GBK" w:hAnsi="Times New Roman" w:hint="eastAsia"/>
          <w:kern w:val="0"/>
          <w:sz w:val="32"/>
          <w:szCs w:val="32"/>
          <w:lang w:val="en-US" w:eastAsia="zh-CN"/>
        </w:rPr>
      </w:pPr>
      <w:r>
        <w:rPr>
          <w:rFonts w:ascii="Times New Roman" w:eastAsia="方正楷体_GBK" w:cs="方正楷体_GBK" w:hAnsi="Times New Roman" w:hint="eastAsia"/>
          <w:kern w:val="0"/>
          <w:sz w:val="32"/>
          <w:szCs w:val="32"/>
          <w:lang w:eastAsia="zh-CN"/>
        </w:rPr>
        <w:t>（</w:t>
      </w:r>
      <w:r>
        <w:rPr>
          <w:rFonts w:ascii="Times New Roman" w:eastAsia="方正楷体_GBK" w:cs="方正楷体_GBK" w:hAnsi="Times New Roman" w:hint="eastAsia"/>
          <w:kern w:val="0"/>
          <w:sz w:val="32"/>
          <w:szCs w:val="32"/>
          <w:lang w:val="en-US" w:eastAsia="zh-CN"/>
        </w:rPr>
        <w:t>一</w:t>
      </w:r>
      <w:r>
        <w:rPr>
          <w:rFonts w:ascii="Times New Roman" w:eastAsia="方正楷体_GBK" w:cs="方正楷体_GBK" w:hAnsi="Times New Roman" w:hint="eastAsia"/>
          <w:kern w:val="0"/>
          <w:sz w:val="32"/>
          <w:szCs w:val="32"/>
          <w:lang w:eastAsia="zh-CN"/>
        </w:rPr>
        <w:t>）</w:t>
      </w:r>
      <w:r>
        <w:rPr>
          <w:rFonts w:ascii="Times New Roman" w:eastAsia="方正楷体_GBK" w:cs="方正楷体_GBK" w:hAnsi="Times New Roman" w:hint="eastAsia"/>
          <w:kern w:val="0"/>
          <w:sz w:val="32"/>
          <w:szCs w:val="32"/>
          <w:lang w:val="en-US" w:eastAsia="zh-CN"/>
        </w:rPr>
        <w:t>职能职责</w:t>
      </w:r>
    </w:p>
    <w:p>
      <w:pPr>
        <w:keepNext w:val="0"/>
        <w:keepLines w:val="0"/>
        <w:pageBreakBefore w:val="0"/>
        <w:widowControl w:val="0"/>
        <w:kinsoku/>
        <w:wordWrap/>
        <w:overflowPunct/>
        <w:topLinePunct w:val="0"/>
        <w:autoSpaceDN/>
        <w:bidi w:val="0"/>
        <w:snapToGrid/>
        <w:spacing w:line="579" w:lineRule="exact"/>
        <w:ind w:firstLineChars="200" w:firstLine="640"/>
        <w:textAlignment w:val="auto"/>
        <w:rPr>
          <w:rFonts w:ascii="Times New Roman" w:eastAsia="方正仿宋_GBK" w:cs="方正仿宋_GBK" w:hAnsi="Times New Roman" w:hint="eastAsia"/>
          <w:kern w:val="0"/>
          <w:sz w:val="32"/>
          <w:szCs w:val="32"/>
          <w:lang w:val="en-US" w:eastAsia="zh-CN"/>
        </w:rPr>
      </w:pPr>
      <w:r>
        <w:rPr>
          <w:rFonts w:ascii="Times New Roman" w:eastAsia="方正仿宋_GBK" w:cs="方正仿宋_GBK" w:hAnsi="Times New Roman" w:hint="eastAsia"/>
          <w:bCs/>
          <w:snapToGrid w:val="0"/>
          <w:sz w:val="32"/>
          <w:szCs w:val="32"/>
        </w:rPr>
        <w:t>1.负责拟定城市管理及综合执法工作中、长期发展规划、专业规划和年度计划，并组织实施；负责全区数字化城市管理。2.统筹协调、监督、检查、考核和指导各有关单位和镇（街）城市管理工作；负责年度目标责任考核。3.负责城区主干道、重要节点和大型广场等市政设施、园林绿化的升级和改造。4.负责城市管理配套设施、绿化方案指标、环卫设施审查及竣工验收。5.负责城区范围内移植、砍伐城市树木、永久占用城市绿地、城市道路挖掘许可。</w:t>
      </w:r>
      <w:r>
        <w:rPr>
          <w:rFonts w:ascii="Times New Roman" w:eastAsia="方正仿宋_GBK" w:hAnsi="Times New Roman" w:hint="eastAsia"/>
          <w:bCs/>
          <w:snapToGrid w:val="0"/>
          <w:sz w:val="32"/>
          <w:szCs w:val="32"/>
        </w:rPr>
        <w:t>6.负责全区园林绿化行业管理和城市公园指导和监督管理；负责城区园林“三创”的申报和城镇建城区内的古树名木申报；负责组织拟订园林绿化中长期规划，编制年度计划并监督执行。7.负责生活垃圾处置及处置费的征管工作，负责垃圾中转站建设、水域清漂。8.负责城镇供水管理。9.负责户外广告、路灯灯饰设置的审批和管理。10.负责建设项目灯饰工程方案审查。11.负责城市桥隧和城市照明等城市管理基础设施维护管理。12.负责授权范围内的城市管理综合行政执法工作；负责统筹城市停车秩序管理，承担法律法规规定的管理职责。13.根据区政府资金计划，负责编制下达城市管理维护、公用、环卫、园林绿化、城市市容环境综合整治和城市管理综合执法工作的资金计划，并对资金的使用实施监督管理。14.负责对城市管理项目的招投标活动实施监督，依法查处招投标活动中的违法行为。15.负责本系统人才队伍建设工作。16.承担法律法规、规章和政策规定的安全、环保监管责任。17.承办区政府交办的其他事项</w:t>
      </w:r>
      <w:r>
        <w:rPr>
          <w:rFonts w:ascii="Times New Roman" w:eastAsia="方正仿宋_GBK" w:cs="方正仿宋_GBK" w:hAnsi="Times New Roman" w:hint="eastAsia"/>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kern w:val="0"/>
          <w:sz w:val="32"/>
          <w:szCs w:val="32"/>
          <w:lang w:eastAsia="zh-CN"/>
        </w:rPr>
      </w:pPr>
      <w:r>
        <w:rPr>
          <w:rFonts w:ascii="Times New Roman" w:eastAsia="方正楷体_GBK" w:cs="方正楷体_GBK" w:hAnsi="Times New Roman" w:hint="eastAsia"/>
          <w:kern w:val="0"/>
          <w:sz w:val="32"/>
          <w:szCs w:val="32"/>
          <w:lang w:val="en-US" w:eastAsia="zh-CN"/>
        </w:rPr>
        <w:t>机构设置</w:t>
      </w:r>
    </w:p>
    <w:p>
      <w:pPr>
        <w:keepNext w:val="0"/>
        <w:keepLines w:val="0"/>
        <w:pageBreakBefore w:val="0"/>
        <w:widowControl w:val="0"/>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kern w:val="0"/>
          <w:sz w:val="32"/>
          <w:szCs w:val="32"/>
          <w:lang w:eastAsia="zh-CN"/>
        </w:rPr>
      </w:pPr>
      <w:r>
        <w:rPr>
          <w:rFonts w:ascii="Times New Roman" w:eastAsia="方正仿宋_GBK" w:cs="方正仿宋_GBK" w:hAnsi="Times New Roman" w:hint="eastAsia"/>
          <w:kern w:val="0"/>
          <w:sz w:val="32"/>
          <w:szCs w:val="32"/>
          <w:shd w:val="clear" w:color="auto" w:fill="FFFFFF"/>
        </w:rPr>
        <w:t>重庆市江津区城市管理局</w:t>
      </w:r>
      <w:r>
        <w:rPr>
          <w:rFonts w:ascii="Times New Roman" w:eastAsia="方正仿宋_GBK" w:cs="方正仿宋_GBK" w:hAnsi="Times New Roman" w:hint="eastAsia"/>
          <w:sz w:val="31"/>
          <w:szCs w:val="31"/>
          <w:shd w:val="clear" w:color="auto" w:fill="FFFFFF"/>
        </w:rPr>
        <w:t>内设6个职能科室（办公室、财务科、市政管理科（行政审批科）、市容环卫管理科、园林绿化管理科、安全法制科），按有关规定设置群众工作科和机关党委办公室，</w:t>
      </w:r>
      <w:r>
        <w:rPr>
          <w:rFonts w:ascii="Times New Roman" w:eastAsia="方正仿宋_GBK" w:cs="方正仿宋_GBK" w:hAnsi="Times New Roman" w:hint="eastAsia"/>
          <w:kern w:val="0"/>
          <w:sz w:val="32"/>
          <w:szCs w:val="32"/>
          <w:shd w:val="clear" w:color="auto" w:fill="FFFFFF"/>
        </w:rPr>
        <w:t>下属2个参公事业单位（重庆市江津区城市管理综合行政执法支队、重庆市江津区供水管理站）、4个全额拨款的事业单位（重庆市江津区公用事业管理所、重庆市江津区数字化城市管理中心、重庆市江津区路灯管理所、重庆市江津区公共停车场管理所）。</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Chars="200" w:firstLine="640"/>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收入支出总体情况。</w:t>
      </w:r>
      <w:r>
        <w:rPr>
          <w:rFonts w:ascii="Times New Roman" w:eastAsia="方正仿宋_GBK" w:cs="方正仿宋_GBK" w:hAnsi="Times New Roman" w:hint="eastAsia"/>
          <w:sz w:val="32"/>
          <w:szCs w:val="32"/>
          <w:shd w:val="clear" w:color="auto" w:fill="FFFFFF"/>
          <w:lang w:val="en-US" w:eastAsia="zh-CN"/>
        </w:rPr>
        <w:t>2024</w:t>
      </w:r>
      <w:r>
        <w:rPr>
          <w:rFonts w:ascii="Times New Roman" w:eastAsia="方正仿宋_GBK" w:cs="方正仿宋_GBK" w:hAnsi="Times New Roman" w:hint="eastAsia"/>
          <w:b w:val="0"/>
          <w:bCs w:val="0"/>
          <w:sz w:val="32"/>
          <w:szCs w:val="32"/>
          <w:lang w:val="en-US" w:eastAsia="zh-CN"/>
        </w:rPr>
        <w:t>年度收入总计</w:t>
      </w:r>
      <w:r>
        <w:rPr>
          <w:rFonts w:ascii="Times New Roman" w:eastAsia="方正仿宋_GBK" w:cs="方正仿宋_GBK" w:hAnsi="Times New Roman"/>
          <w:sz w:val="32"/>
          <w:szCs w:val="32"/>
          <w:shd w:val="clear" w:color="auto" w:fill="FFFFFF"/>
        </w:rPr>
        <w:t>20239.42</w:t>
      </w:r>
      <w:r>
        <w:rPr>
          <w:rFonts w:ascii="Times New Roman" w:eastAsia="方正仿宋_GBK" w:cs="方正仿宋_GBK" w:hAnsi="Times New Roman" w:hint="eastAsia"/>
          <w:b w:val="0"/>
          <w:bCs w:val="0"/>
          <w:sz w:val="32"/>
          <w:szCs w:val="32"/>
          <w:lang w:val="en-US" w:eastAsia="zh-CN"/>
        </w:rPr>
        <w:t>万元，支出总计</w:t>
      </w:r>
      <w:r>
        <w:rPr>
          <w:rFonts w:ascii="Times New Roman" w:eastAsia="方正仿宋_GBK" w:cs="方正仿宋_GBK" w:hAnsi="Times New Roman"/>
          <w:sz w:val="32"/>
          <w:szCs w:val="32"/>
          <w:shd w:val="clear" w:color="auto" w:fill="FFFFFF"/>
        </w:rPr>
        <w:t>20239.42</w:t>
      </w:r>
      <w:r>
        <w:rPr>
          <w:rFonts w:ascii="Times New Roman" w:eastAsia="方正仿宋_GBK" w:cs="方正仿宋_GBK" w:hAnsi="Times New Roman" w:hint="eastAsia"/>
          <w:b w:val="0"/>
          <w:bCs w:val="0"/>
          <w:sz w:val="32"/>
          <w:szCs w:val="32"/>
          <w:lang w:val="en-US" w:eastAsia="zh-CN"/>
        </w:rPr>
        <w:t>万元。收支较上年</w:t>
      </w:r>
      <w:r>
        <w:rPr>
          <w:rFonts w:ascii="Times New Roman" w:eastAsia="方正仿宋_GBK" w:cs="方正仿宋_GBK" w:hAnsi="Times New Roman"/>
          <w:sz w:val="32"/>
          <w:szCs w:val="32"/>
          <w:shd w:val="clear" w:color="auto" w:fill="FFFFFF"/>
        </w:rPr>
        <w:t>减少2207.84</w:t>
      </w:r>
      <w:r>
        <w:rPr>
          <w:rFonts w:ascii="Times New Roman" w:eastAsia="方正仿宋_GBK" w:cs="方正仿宋_GBK" w:hAnsi="Times New Roman" w:hint="eastAsia"/>
          <w:b w:val="0"/>
          <w:bCs w:val="0"/>
          <w:sz w:val="32"/>
          <w:szCs w:val="32"/>
          <w:lang w:val="en-US" w:eastAsia="zh-CN"/>
        </w:rPr>
        <w:t>万元，</w:t>
      </w:r>
      <w:r>
        <w:rPr>
          <w:rFonts w:ascii="Times New Roman" w:eastAsia="方正仿宋_GBK" w:cs="方正仿宋_GBK" w:hAnsi="Times New Roman"/>
          <w:sz w:val="32"/>
          <w:szCs w:val="32"/>
          <w:shd w:val="clear" w:color="auto" w:fill="FFFFFF"/>
        </w:rPr>
        <w:t>下降9.8</w:t>
      </w:r>
      <w:r>
        <w:rPr>
          <w:rFonts w:ascii="Times New Roman" w:eastAsia="方正仿宋_GBK" w:cs="方正仿宋_GBK" w:hAnsi="Times New Roman" w:hint="eastAsia"/>
          <w:sz w:val="32"/>
          <w:szCs w:val="32"/>
          <w:shd w:val="clear" w:color="auto" w:fill="FFFFFF"/>
          <w:lang w:val="en-US" w:eastAsia="zh-CN"/>
        </w:rPr>
        <w:t>3</w:t>
      </w:r>
      <w:r>
        <w:rPr>
          <w:rFonts w:ascii="Times New Roman" w:eastAsia="方正仿宋_GBK" w:cs="方正仿宋_GBK" w:hAnsi="Times New Roman"/>
          <w:sz w:val="32"/>
          <w:szCs w:val="32"/>
          <w:shd w:val="clear" w:color="auto" w:fill="FFFFFF"/>
        </w:rPr>
        <w:t>%，</w:t>
      </w:r>
      <w:r>
        <w:rPr>
          <w:rFonts w:ascii="Times New Roman" w:eastAsia="方正仿宋_GBK" w:cs="方正仿宋_GBK" w:hAnsi="Times New Roman" w:hint="eastAsia"/>
          <w:b w:val="0"/>
          <w:bCs w:val="0"/>
          <w:sz w:val="32"/>
          <w:szCs w:val="32"/>
          <w:lang w:val="en-US" w:eastAsia="zh-CN"/>
        </w:rPr>
        <w:t>，主要原因为贯彻过紧日子苦日子思想，落实区级增收节支措施，一般公共预算项目支出拨款减少。</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收入情况。</w:t>
      </w:r>
      <w:r>
        <w:rPr>
          <w:rFonts w:ascii="Times New Roman" w:eastAsia="方正仿宋_GBK" w:cs="方正仿宋_GBK" w:hAnsi="Times New Roman" w:hint="eastAsia"/>
          <w:sz w:val="32"/>
          <w:szCs w:val="32"/>
          <w:shd w:val="clear" w:color="auto" w:fill="FFFFFF"/>
          <w:lang w:val="en-US" w:eastAsia="zh-CN"/>
        </w:rPr>
        <w:t>2024</w:t>
      </w:r>
      <w:r>
        <w:rPr>
          <w:rFonts w:ascii="Times New Roman" w:eastAsia="方正仿宋_GBK" w:cs="方正仿宋_GBK" w:hAnsi="Times New Roman" w:hint="eastAsia"/>
          <w:b w:val="0"/>
          <w:bCs w:val="0"/>
          <w:sz w:val="32"/>
          <w:szCs w:val="32"/>
          <w:lang w:val="en-US" w:eastAsia="zh-CN"/>
        </w:rPr>
        <w:t>年度本年收入合计</w:t>
      </w:r>
      <w:r>
        <w:rPr>
          <w:rFonts w:ascii="Times New Roman" w:eastAsia="方正仿宋_GBK" w:cs="方正仿宋_GBK" w:hAnsi="Times New Roman"/>
          <w:sz w:val="32"/>
          <w:szCs w:val="32"/>
          <w:shd w:val="clear" w:color="auto" w:fill="FFFFFF"/>
        </w:rPr>
        <w:t>20077.22</w:t>
      </w:r>
      <w:r>
        <w:rPr>
          <w:rFonts w:ascii="Times New Roman" w:eastAsia="方正仿宋_GBK" w:cs="方正仿宋_GBK" w:hAnsi="Times New Roman" w:hint="eastAsia"/>
          <w:b w:val="0"/>
          <w:bCs w:val="0"/>
          <w:sz w:val="32"/>
          <w:szCs w:val="32"/>
          <w:lang w:val="en-US" w:eastAsia="zh-CN"/>
        </w:rPr>
        <w:t>万元，较上年</w:t>
      </w:r>
      <w:r>
        <w:rPr>
          <w:rFonts w:ascii="Times New Roman" w:eastAsia="方正仿宋_GBK" w:cs="方正仿宋_GBK" w:hAnsi="Times New Roman"/>
          <w:sz w:val="32"/>
          <w:szCs w:val="32"/>
          <w:shd w:val="clear" w:color="auto" w:fill="FFFFFF"/>
        </w:rPr>
        <w:t>减少2162.52</w:t>
      </w:r>
      <w:r>
        <w:rPr>
          <w:rFonts w:ascii="Times New Roman" w:eastAsia="方正仿宋_GBK" w:cs="方正仿宋_GBK" w:hAnsi="Times New Roman" w:hint="eastAsia"/>
          <w:b w:val="0"/>
          <w:bCs w:val="0"/>
          <w:sz w:val="32"/>
          <w:szCs w:val="32"/>
          <w:lang w:val="en-US" w:eastAsia="zh-CN"/>
        </w:rPr>
        <w:t>万元，</w:t>
      </w:r>
      <w:r>
        <w:rPr>
          <w:rFonts w:ascii="Times New Roman" w:eastAsia="方正仿宋_GBK" w:cs="方正仿宋_GBK" w:hAnsi="Times New Roman"/>
          <w:sz w:val="32"/>
          <w:szCs w:val="32"/>
          <w:shd w:val="clear" w:color="auto" w:fill="FFFFFF"/>
        </w:rPr>
        <w:t>下降9.7</w:t>
      </w:r>
      <w:r>
        <w:rPr>
          <w:rFonts w:ascii="Times New Roman" w:eastAsia="方正仿宋_GBK" w:cs="方正仿宋_GBK" w:hAnsi="Times New Roman" w:hint="eastAsia"/>
          <w:sz w:val="32"/>
          <w:szCs w:val="32"/>
          <w:shd w:val="clear" w:color="auto" w:fill="FFFFFF"/>
          <w:lang w:val="en-US" w:eastAsia="zh-CN"/>
        </w:rPr>
        <w:t>2</w:t>
      </w:r>
      <w:r>
        <w:rPr>
          <w:rFonts w:ascii="Times New Roman" w:eastAsia="方正仿宋_GBK" w:cs="方正仿宋_GBK" w:hAnsi="Times New Roman"/>
          <w:sz w:val="32"/>
          <w:szCs w:val="32"/>
          <w:shd w:val="clear" w:color="auto" w:fill="FFFFFF"/>
        </w:rPr>
        <w:t>%</w:t>
      </w:r>
      <w:r>
        <w:rPr>
          <w:rFonts w:ascii="Times New Roman" w:eastAsia="方正仿宋_GBK" w:cs="方正仿宋_GBK" w:hAnsi="Times New Roman" w:hint="eastAsia"/>
          <w:b w:val="0"/>
          <w:bCs w:val="0"/>
          <w:sz w:val="32"/>
          <w:szCs w:val="32"/>
          <w:lang w:val="en-US" w:eastAsia="zh-CN"/>
        </w:rPr>
        <w:t>，主要原因为贯彻过紧日子苦日子思想，落实区级增收节支措施，一般公共预算项目支出拨款减少。其中：财政拨款收入</w:t>
      </w:r>
      <w:r>
        <w:rPr>
          <w:rFonts w:ascii="Times New Roman" w:eastAsia="方正仿宋_GBK" w:cs="方正仿宋_GBK" w:hAnsi="Times New Roman"/>
          <w:sz w:val="32"/>
          <w:szCs w:val="32"/>
        </w:rPr>
        <w:t>19954.72</w:t>
      </w:r>
      <w:r>
        <w:rPr>
          <w:rFonts w:ascii="Times New Roman" w:eastAsia="方正仿宋_GBK" w:cs="方正仿宋_GBK" w:hAnsi="Times New Roman" w:hint="eastAsia"/>
          <w:b w:val="0"/>
          <w:bCs w:val="0"/>
          <w:sz w:val="32"/>
          <w:szCs w:val="32"/>
          <w:lang w:val="en-US" w:eastAsia="zh-CN"/>
        </w:rPr>
        <w:t>万元，占比</w:t>
      </w:r>
      <w:r>
        <w:rPr>
          <w:rFonts w:ascii="Times New Roman" w:eastAsia="方正仿宋_GBK" w:cs="方正仿宋_GBK" w:hAnsi="Times New Roman"/>
          <w:sz w:val="32"/>
          <w:szCs w:val="32"/>
        </w:rPr>
        <w:t>99.39</w:t>
      </w:r>
      <w:r>
        <w:rPr>
          <w:rFonts w:ascii="Times New Roman" w:eastAsia="方正仿宋_GBK" w:cs="方正仿宋_GBK" w:hAnsi="Times New Roman"/>
          <w:sz w:val="32"/>
          <w:szCs w:val="32"/>
          <w:shd w:val="clear" w:color="auto" w:fill="FFFFFF"/>
        </w:rPr>
        <w:t>%</w:t>
      </w:r>
      <w:r>
        <w:rPr>
          <w:rFonts w:ascii="Times New Roman" w:eastAsia="方正仿宋_GBK" w:cs="方正仿宋_GBK" w:hAnsi="Times New Roman" w:hint="eastAsia"/>
          <w:b w:val="0"/>
          <w:bCs w:val="0"/>
          <w:sz w:val="32"/>
          <w:szCs w:val="32"/>
          <w:lang w:val="en-US" w:eastAsia="zh-CN"/>
        </w:rPr>
        <w:t>；事业收入</w:t>
      </w:r>
      <w:r>
        <w:rPr>
          <w:rFonts w:ascii="Times New Roman" w:eastAsia="方正仿宋_GBK" w:cs="方正仿宋_GBK" w:hAnsi="Times New Roman" w:hint="eastAsia"/>
          <w:sz w:val="32"/>
          <w:szCs w:val="32"/>
          <w:shd w:val="clear" w:color="auto" w:fill="FFFFFF"/>
          <w:lang w:val="en-US" w:eastAsia="zh-CN"/>
        </w:rPr>
        <w:t>0</w:t>
      </w:r>
      <w:r>
        <w:rPr>
          <w:rFonts w:eastAsia="方正仿宋_GBK" w:cs="方正仿宋_GBK" w:hint="eastAsia"/>
          <w:sz w:val="32"/>
          <w:szCs w:val="32"/>
          <w:shd w:val="clear" w:color="auto" w:fill="FFFFFF"/>
          <w:lang w:val="en-US" w:eastAsia="zh-CN"/>
        </w:rPr>
        <w:t>.00</w:t>
      </w:r>
      <w:r>
        <w:rPr>
          <w:rFonts w:ascii="Times New Roman" w:eastAsia="方正仿宋_GBK" w:cs="方正仿宋_GBK" w:hAnsi="Times New Roman" w:hint="eastAsia"/>
          <w:b w:val="0"/>
          <w:bCs w:val="0"/>
          <w:sz w:val="32"/>
          <w:szCs w:val="32"/>
          <w:lang w:val="en-US" w:eastAsia="zh-CN"/>
        </w:rPr>
        <w:t>万元，占比</w:t>
      </w:r>
      <w:r>
        <w:rPr>
          <w:rFonts w:eastAsia="方正仿宋_GBK" w:cs="方正仿宋_GBK" w:hint="eastAsia"/>
          <w:b w:val="0"/>
          <w:bCs w:val="0"/>
          <w:sz w:val="32"/>
          <w:szCs w:val="32"/>
          <w:lang w:val="en-US" w:eastAsia="zh-CN"/>
        </w:rPr>
        <w:t>0.00</w:t>
      </w:r>
      <w:r>
        <w:rPr>
          <w:rFonts w:ascii="Times New Roman" w:eastAsia="方正仿宋_GBK" w:cs="方正仿宋_GBK" w:hAnsi="Times New Roman" w:hint="eastAsia"/>
          <w:b w:val="0"/>
          <w:bCs w:val="0"/>
          <w:sz w:val="32"/>
          <w:szCs w:val="32"/>
          <w:lang w:val="en-US" w:eastAsia="zh-CN"/>
        </w:rPr>
        <w:t>%；</w:t>
      </w:r>
      <w:r>
        <w:rPr>
          <w:rFonts w:ascii="方正仿宋_GBK" w:eastAsia="方正仿宋_GBK" w:cs="方正仿宋_GBK"/>
          <w:sz w:val="32"/>
          <w:szCs w:val="32"/>
          <w:shd w:val="clear" w:color="auto" w:fill="FFFFFF"/>
        </w:rPr>
        <w:t>经营收入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万元，占0.00%；</w:t>
      </w:r>
      <w:r>
        <w:rPr>
          <w:rFonts w:ascii="Times New Roman" w:eastAsia="方正仿宋_GBK" w:cs="方正仿宋_GBK" w:hAnsi="Times New Roman" w:hint="eastAsia"/>
          <w:b w:val="0"/>
          <w:bCs w:val="0"/>
          <w:sz w:val="32"/>
          <w:szCs w:val="32"/>
          <w:lang w:val="en-US" w:eastAsia="zh-CN"/>
        </w:rPr>
        <w:t>其他收入</w:t>
      </w:r>
      <w:r>
        <w:rPr>
          <w:rFonts w:ascii="方正仿宋_GBK" w:eastAsia="方正仿宋_GBK" w:cs="方正仿宋_GBK"/>
          <w:sz w:val="32"/>
          <w:szCs w:val="32"/>
        </w:rPr>
        <w:t>122.50</w:t>
      </w:r>
      <w:r>
        <w:rPr>
          <w:rFonts w:ascii="Times New Roman" w:eastAsia="方正仿宋_GBK" w:cs="方正仿宋_GBK" w:hAnsi="Times New Roman" w:hint="eastAsia"/>
          <w:b w:val="0"/>
          <w:bCs w:val="0"/>
          <w:sz w:val="32"/>
          <w:szCs w:val="32"/>
          <w:lang w:val="en-US" w:eastAsia="zh-CN"/>
        </w:rPr>
        <w:t>万元，占比</w:t>
      </w:r>
      <w:r>
        <w:rPr>
          <w:rFonts w:eastAsia="方正仿宋_GBK" w:cs="方正仿宋_GBK" w:hint="eastAsia"/>
          <w:b w:val="0"/>
          <w:bCs w:val="0"/>
          <w:sz w:val="32"/>
          <w:szCs w:val="32"/>
          <w:lang w:val="en-US" w:eastAsia="zh-CN"/>
        </w:rPr>
        <w:t>0.61</w:t>
      </w:r>
      <w:r>
        <w:rPr>
          <w:rFonts w:ascii="Times New Roman" w:eastAsia="方正仿宋_GBK" w:cs="方正仿宋_GBK" w:hAnsi="Times New Roman" w:hint="eastAsia"/>
          <w:b w:val="0"/>
          <w:bCs w:val="0"/>
          <w:sz w:val="32"/>
          <w:szCs w:val="32"/>
          <w:lang w:val="en-US" w:eastAsia="zh-CN"/>
        </w:rPr>
        <w:t>%。</w:t>
      </w:r>
      <w:r>
        <w:rPr>
          <w:rFonts w:ascii="Times New Roman" w:eastAsia="方正仿宋_GBK" w:cs="方正仿宋_GBK" w:hAnsi="Times New Roman"/>
          <w:sz w:val="32"/>
          <w:szCs w:val="32"/>
          <w:shd w:val="clear" w:color="auto" w:fill="FFFFFF"/>
        </w:rPr>
        <w:t>此外，使用非财政拨款结余和专用结余</w:t>
      </w:r>
      <w:r>
        <w:rPr>
          <w:rFonts w:eastAsia="方正仿宋_GBK" w:cs="方正仿宋_GBK" w:hint="eastAsia"/>
          <w:sz w:val="32"/>
          <w:szCs w:val="32"/>
          <w:lang w:val="en-US" w:eastAsia="zh-CN"/>
        </w:rPr>
        <w:t>0.00</w:t>
      </w:r>
      <w:r>
        <w:rPr>
          <w:rFonts w:ascii="Times New Roman" w:eastAsia="方正仿宋_GBK" w:cs="方正仿宋_GBK" w:hAnsi="Times New Roman"/>
          <w:sz w:val="32"/>
          <w:szCs w:val="32"/>
          <w:shd w:val="clear" w:color="auto" w:fill="FFFFFF"/>
        </w:rPr>
        <w:t>万元，年初结转和结余</w:t>
      </w:r>
      <w:r>
        <w:rPr>
          <w:rFonts w:eastAsia="方正仿宋_GBK" w:cs="方正仿宋_GBK" w:hint="eastAsia"/>
          <w:sz w:val="32"/>
          <w:szCs w:val="32"/>
          <w:shd w:val="clear" w:color="auto" w:fill="FFFFFF"/>
          <w:lang w:val="en-US" w:eastAsia="zh-CN"/>
        </w:rPr>
        <w:t>162.20</w:t>
      </w:r>
      <w:r>
        <w:rPr>
          <w:rFonts w:ascii="Times New Roman" w:eastAsia="方正仿宋_GBK" w:cs="方正仿宋_GBK" w:hAnsi="Times New Roman"/>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支出情况。</w:t>
      </w:r>
      <w:r>
        <w:rPr>
          <w:rFonts w:ascii="Times New Roman" w:eastAsia="方正仿宋_GBK" w:cs="方正仿宋_GBK" w:hAnsi="Times New Roman" w:hint="eastAsia"/>
          <w:b w:val="0"/>
          <w:bCs w:val="0"/>
          <w:sz w:val="32"/>
          <w:szCs w:val="32"/>
          <w:lang w:val="en-US" w:eastAsia="zh-CN"/>
        </w:rPr>
        <w:t>2024年度本年支出合计</w:t>
      </w:r>
      <w:r>
        <w:rPr>
          <w:rFonts w:ascii="方正仿宋_GBK" w:eastAsia="方正仿宋_GBK" w:cs="方正仿宋_GBK"/>
          <w:sz w:val="32"/>
          <w:szCs w:val="32"/>
        </w:rPr>
        <w:t>20175.83</w:t>
      </w:r>
      <w:r>
        <w:rPr>
          <w:rFonts w:ascii="Times New Roman" w:eastAsia="方正仿宋_GBK" w:cs="方正仿宋_GBK" w:hAnsi="Times New Roman" w:hint="eastAsia"/>
          <w:b w:val="0"/>
          <w:bCs w:val="0"/>
          <w:sz w:val="32"/>
          <w:szCs w:val="32"/>
          <w:lang w:val="en-US" w:eastAsia="zh-CN"/>
        </w:rPr>
        <w:t>万元，</w:t>
      </w:r>
      <w:r>
        <w:rPr>
          <w:rFonts w:ascii="Times New Roman" w:eastAsia="方正仿宋_GBK" w:cs="方正仿宋_GBK" w:hAnsi="Times New Roman" w:hint="eastAsia"/>
          <w:sz w:val="32"/>
        </w:rPr>
        <w:t>较</w:t>
      </w:r>
      <w:r>
        <w:rPr>
          <w:rFonts w:ascii="Times New Roman" w:eastAsia="方正仿宋_GBK" w:cs="方正仿宋_GBK" w:hAnsi="Times New Roman" w:hint="eastAsia"/>
          <w:sz w:val="32"/>
          <w:lang w:val="en-US" w:eastAsia="zh-CN"/>
        </w:rPr>
        <w:t>上年</w:t>
      </w:r>
      <w:r>
        <w:rPr>
          <w:rFonts w:ascii="方正仿宋_GBK" w:eastAsia="方正仿宋_GBK" w:cs="方正仿宋_GBK"/>
          <w:sz w:val="32"/>
          <w:szCs w:val="32"/>
          <w:shd w:val="clear" w:color="auto" w:fill="FFFFFF"/>
        </w:rPr>
        <w:t>减少2109.23万元，下降9.</w:t>
      </w:r>
      <w:r>
        <w:rPr>
          <w:rFonts w:ascii="方正仿宋_GBK" w:eastAsia="方正仿宋_GBK" w:cs="方正仿宋_GBK" w:hint="eastAsia"/>
          <w:sz w:val="32"/>
          <w:szCs w:val="32"/>
          <w:shd w:val="clear" w:color="auto" w:fill="FFFFFF"/>
          <w:lang w:val="en-US" w:eastAsia="zh-CN"/>
        </w:rPr>
        <w:t>46</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sz w:val="32"/>
        </w:rPr>
        <w:t>主要</w:t>
      </w:r>
      <w:r>
        <w:rPr>
          <w:rFonts w:ascii="Times New Roman" w:eastAsia="方正仿宋_GBK" w:cs="方正仿宋_GBK" w:hAnsi="Times New Roman" w:hint="eastAsia"/>
          <w:sz w:val="32"/>
          <w:lang w:val="en-US" w:eastAsia="zh-CN"/>
        </w:rPr>
        <w:t>原因为</w:t>
      </w:r>
      <w:r>
        <w:rPr>
          <w:rFonts w:ascii="Times New Roman" w:eastAsia="方正仿宋_GBK" w:cs="方正仿宋_GBK" w:hAnsi="Times New Roman" w:hint="eastAsia"/>
          <w:b w:val="0"/>
          <w:bCs w:val="0"/>
          <w:sz w:val="32"/>
          <w:szCs w:val="32"/>
          <w:lang w:val="en-US" w:eastAsia="zh-CN"/>
        </w:rPr>
        <w:t>贯彻过紧日子苦日子思想，落实区级增收节支措施，一般公共预算项目支出拨款减少。其中：基本支出</w:t>
      </w:r>
      <w:r>
        <w:rPr>
          <w:rFonts w:ascii="方正仿宋_GBK" w:eastAsia="方正仿宋_GBK" w:cs="方正仿宋_GBK"/>
          <w:sz w:val="32"/>
          <w:szCs w:val="32"/>
        </w:rPr>
        <w:t>3328.1</w:t>
      </w:r>
      <w:r>
        <w:rPr>
          <w:rFonts w:ascii="方正仿宋_GBK" w:eastAsia="方正仿宋_GBK" w:cs="方正仿宋_GBK" w:hint="eastAsia"/>
          <w:sz w:val="32"/>
          <w:szCs w:val="32"/>
          <w:lang w:val="en-US" w:eastAsia="zh-CN"/>
        </w:rPr>
        <w:t>3</w:t>
      </w:r>
      <w:r>
        <w:rPr>
          <w:rFonts w:ascii="Times New Roman" w:eastAsia="方正仿宋_GBK" w:cs="方正仿宋_GBK" w:hAnsi="Times New Roman" w:hint="eastAsia"/>
          <w:b w:val="0"/>
          <w:bCs w:val="0"/>
          <w:sz w:val="32"/>
          <w:szCs w:val="32"/>
          <w:lang w:val="en-US" w:eastAsia="zh-CN"/>
        </w:rPr>
        <w:t>万元，占比</w:t>
      </w:r>
      <w:r>
        <w:rPr>
          <w:rFonts w:ascii="方正仿宋_GBK" w:eastAsia="方正仿宋_GBK" w:cs="方正仿宋_GBK"/>
          <w:sz w:val="32"/>
          <w:szCs w:val="32"/>
          <w:shd w:val="clear" w:color="auto" w:fill="FFFFFF"/>
        </w:rPr>
        <w:t>16.50</w:t>
      </w:r>
      <w:r>
        <w:rPr>
          <w:rFonts w:ascii="Times New Roman" w:eastAsia="方正仿宋_GBK" w:cs="方正仿宋_GBK" w:hAnsi="Times New Roman" w:hint="eastAsia"/>
          <w:b w:val="0"/>
          <w:bCs w:val="0"/>
          <w:sz w:val="32"/>
          <w:szCs w:val="32"/>
          <w:lang w:val="en-US" w:eastAsia="zh-CN"/>
        </w:rPr>
        <w:t>%；项目支出</w:t>
      </w:r>
      <w:r>
        <w:rPr>
          <w:rFonts w:ascii="方正仿宋_GBK" w:eastAsia="方正仿宋_GBK" w:cs="方正仿宋_GBK"/>
          <w:sz w:val="32"/>
          <w:szCs w:val="32"/>
        </w:rPr>
        <w:t>16847.70</w:t>
      </w:r>
      <w:r>
        <w:rPr>
          <w:rFonts w:ascii="Times New Roman" w:eastAsia="方正仿宋_GBK" w:cs="方正仿宋_GBK" w:hAnsi="Times New Roman" w:hint="eastAsia"/>
          <w:b w:val="0"/>
          <w:bCs w:val="0"/>
          <w:sz w:val="32"/>
          <w:szCs w:val="32"/>
          <w:lang w:val="en-US" w:eastAsia="zh-CN"/>
        </w:rPr>
        <w:t>万元，占比</w:t>
      </w:r>
      <w:r>
        <w:rPr>
          <w:rFonts w:ascii="方正仿宋_GBK" w:eastAsia="方正仿宋_GBK" w:cs="方正仿宋_GBK"/>
          <w:sz w:val="32"/>
          <w:szCs w:val="32"/>
          <w:shd w:val="clear" w:color="auto" w:fill="FFFFFF"/>
        </w:rPr>
        <w:t>83.50</w:t>
      </w:r>
      <w:r>
        <w:rPr>
          <w:rFonts w:ascii="Times New Roman" w:eastAsia="方正仿宋_GBK" w:cs="方正仿宋_GBK" w:hAnsi="Times New Roman" w:hint="eastAsia"/>
          <w:b w:val="0"/>
          <w:bCs w:val="0"/>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kern w:val="0"/>
          <w:sz w:val="32"/>
          <w:szCs w:val="32"/>
          <w:lang w:val="en-US" w:eastAsia="zh-CN"/>
        </w:rPr>
      </w:pPr>
      <w:r>
        <w:rPr>
          <w:rFonts w:ascii="Times New Roman" w:eastAsia="方正仿宋_GBK" w:cs="方正仿宋_GBK" w:hAnsi="Times New Roman" w:hint="eastAsia"/>
          <w:b/>
          <w:bCs/>
          <w:sz w:val="32"/>
          <w:szCs w:val="32"/>
          <w:lang w:val="en-US" w:eastAsia="zh-CN"/>
        </w:rPr>
        <w:t>结转结余情况。</w:t>
      </w:r>
      <w:r>
        <w:rPr>
          <w:rFonts w:ascii="Times New Roman" w:eastAsia="方正仿宋_GBK" w:cs="方正仿宋_GBK" w:hAnsi="Times New Roman" w:hint="eastAsia"/>
          <w:b w:val="0"/>
          <w:bCs w:val="0"/>
          <w:sz w:val="32"/>
          <w:szCs w:val="32"/>
          <w:lang w:val="en-US" w:eastAsia="zh-CN"/>
        </w:rPr>
        <w:t>2024年度年末结转和结余</w:t>
      </w:r>
      <w:r>
        <w:rPr>
          <w:rFonts w:ascii="方正仿宋_GBK" w:eastAsia="方正仿宋_GBK" w:cs="方正仿宋_GBK"/>
          <w:sz w:val="32"/>
          <w:szCs w:val="32"/>
        </w:rPr>
        <w:t>63.59</w:t>
      </w:r>
      <w:r>
        <w:rPr>
          <w:rFonts w:ascii="Times New Roman" w:eastAsia="方正仿宋_GBK" w:cs="方正仿宋_GBK" w:hAnsi="Times New Roman" w:hint="eastAsia"/>
          <w:b w:val="0"/>
          <w:bCs w:val="0"/>
          <w:sz w:val="32"/>
          <w:szCs w:val="32"/>
          <w:lang w:val="en-US" w:eastAsia="zh-CN"/>
        </w:rPr>
        <w:t>万元，与2023年度相比</w:t>
      </w:r>
      <w:r>
        <w:rPr>
          <w:rFonts w:ascii="方正仿宋_GBK" w:eastAsia="方正仿宋_GBK" w:cs="方正仿宋_GBK"/>
          <w:sz w:val="32"/>
          <w:szCs w:val="32"/>
          <w:shd w:val="clear" w:color="auto" w:fill="FFFFFF"/>
        </w:rPr>
        <w:t>减少98.62万元，下降60.</w:t>
      </w:r>
      <w:r>
        <w:rPr>
          <w:rFonts w:ascii="方正仿宋_GBK" w:eastAsia="方正仿宋_GBK" w:cs="方正仿宋_GBK" w:hint="eastAsia"/>
          <w:sz w:val="32"/>
          <w:szCs w:val="32"/>
          <w:shd w:val="clear" w:color="auto" w:fill="FFFFFF"/>
          <w:lang w:val="en-US" w:eastAsia="zh-CN"/>
        </w:rPr>
        <w:t>79</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b w:val="0"/>
          <w:bCs w:val="0"/>
          <w:sz w:val="32"/>
          <w:szCs w:val="32"/>
          <w:lang w:val="en-US" w:eastAsia="zh-CN"/>
        </w:rPr>
        <w:t>，主要原因是</w:t>
      </w:r>
      <w:r>
        <w:rPr>
          <w:rFonts w:eastAsia="方正仿宋_GBK" w:cs="方正仿宋_GBK" w:hint="eastAsia"/>
          <w:b w:val="0"/>
          <w:bCs w:val="0"/>
          <w:sz w:val="32"/>
          <w:szCs w:val="32"/>
          <w:lang w:val="en-US" w:eastAsia="zh-CN"/>
        </w:rPr>
        <w:t>上年度结转资金在本年度实现支付</w:t>
      </w:r>
      <w:r>
        <w:rPr>
          <w:rFonts w:ascii="Times New Roman" w:eastAsia="方正仿宋_GBK" w:cs="方正仿宋_GBK" w:hAnsi="Times New Roman" w:hint="eastAsia"/>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lang w:val="en-US" w:eastAsia="zh-CN"/>
        </w:rPr>
      </w:pPr>
      <w:r>
        <w:rPr>
          <w:rFonts w:ascii="Times New Roman" w:eastAsia="方正仿宋_GBK" w:cs="方正仿宋_GBK" w:hAnsi="Times New Roman" w:hint="eastAsia"/>
          <w:sz w:val="32"/>
          <w:lang w:val="en-US" w:eastAsia="zh-CN"/>
        </w:rPr>
        <w:t>2024年度财政拨款收入总计</w:t>
      </w:r>
      <w:r>
        <w:rPr>
          <w:rFonts w:ascii="方正仿宋_GBK" w:eastAsia="方正仿宋_GBK" w:cs="方正仿宋_GBK"/>
          <w:sz w:val="32"/>
          <w:szCs w:val="32"/>
          <w:shd w:val="clear" w:color="auto" w:fill="FFFFFF"/>
        </w:rPr>
        <w:t>19954.72</w:t>
      </w:r>
      <w:r>
        <w:rPr>
          <w:rFonts w:ascii="Times New Roman" w:eastAsia="方正仿宋_GBK" w:cs="方正仿宋_GBK" w:hAnsi="Times New Roman" w:hint="eastAsia"/>
          <w:sz w:val="32"/>
          <w:lang w:val="en-US" w:eastAsia="zh-CN"/>
        </w:rPr>
        <w:t>万元，支出总计</w:t>
      </w:r>
      <w:r>
        <w:rPr>
          <w:rFonts w:ascii="方正仿宋_GBK" w:eastAsia="方正仿宋_GBK" w:cs="方正仿宋_GBK"/>
          <w:sz w:val="32"/>
          <w:szCs w:val="32"/>
          <w:shd w:val="clear" w:color="auto" w:fill="FFFFFF"/>
        </w:rPr>
        <w:t>19954.72</w:t>
      </w:r>
      <w:r>
        <w:rPr>
          <w:rFonts w:ascii="Times New Roman" w:eastAsia="方正仿宋_GBK" w:cs="方正仿宋_GBK" w:hAnsi="Times New Roman" w:hint="eastAsia"/>
          <w:sz w:val="32"/>
          <w:lang w:val="en-US" w:eastAsia="zh-CN"/>
        </w:rPr>
        <w:t>万元。</w:t>
      </w:r>
      <w:r>
        <w:rPr>
          <w:rFonts w:ascii="Times New Roman" w:eastAsia="方正仿宋_GBK" w:cs="方正仿宋_GBK" w:hAnsi="Times New Roman" w:hint="eastAsia"/>
          <w:sz w:val="32"/>
        </w:rPr>
        <w:t>收支较上年</w:t>
      </w:r>
      <w:r>
        <w:rPr>
          <w:rFonts w:ascii="方正仿宋_GBK" w:eastAsia="方正仿宋_GBK" w:cs="方正仿宋_GBK"/>
          <w:sz w:val="32"/>
          <w:szCs w:val="32"/>
          <w:shd w:val="clear" w:color="auto" w:fill="FFFFFF"/>
        </w:rPr>
        <w:t>减少1725.90</w:t>
      </w:r>
      <w:r>
        <w:rPr>
          <w:rFonts w:ascii="Times New Roman" w:eastAsia="方正仿宋_GBK" w:cs="方正仿宋_GBK" w:hAnsi="Times New Roman" w:hint="eastAsia"/>
          <w:sz w:val="32"/>
        </w:rPr>
        <w:t>万元</w:t>
      </w:r>
      <w:r>
        <w:rPr>
          <w:rFonts w:ascii="Times New Roman" w:eastAsia="方正仿宋_GBK" w:cs="方正仿宋_GBK" w:hAnsi="Times New Roman" w:hint="eastAsia"/>
          <w:sz w:val="32"/>
          <w:lang w:eastAsia="zh-CN"/>
        </w:rPr>
        <w:t>，</w:t>
      </w:r>
      <w:r>
        <w:rPr>
          <w:rFonts w:eastAsia="方正仿宋_GBK" w:cs="方正仿宋_GBK" w:hint="eastAsia"/>
          <w:sz w:val="32"/>
          <w:lang w:val="en-US" w:eastAsia="zh-CN"/>
        </w:rPr>
        <w:t>下降7.96</w:t>
      </w:r>
      <w:r>
        <w:rPr>
          <w:rFonts w:ascii="Times New Roman" w:eastAsia="方正仿宋_GBK" w:cs="方正仿宋_GBK" w:hAnsi="Times New Roman" w:hint="eastAsia"/>
          <w:sz w:val="32"/>
          <w:lang w:val="en-US" w:eastAsia="zh-CN"/>
        </w:rPr>
        <w:t>%，</w:t>
      </w:r>
      <w:r>
        <w:rPr>
          <w:rFonts w:ascii="Times New Roman" w:eastAsia="方正仿宋_GBK" w:cs="方正仿宋_GBK" w:hAnsi="Times New Roman" w:hint="eastAsia"/>
          <w:sz w:val="32"/>
        </w:rPr>
        <w:t>主要原因</w:t>
      </w:r>
      <w:r>
        <w:rPr>
          <w:rFonts w:ascii="Times New Roman" w:eastAsia="方正仿宋_GBK" w:cs="方正仿宋_GBK" w:hAnsi="Times New Roman" w:hint="eastAsia"/>
          <w:sz w:val="32"/>
          <w:lang w:val="en-US" w:eastAsia="zh-CN"/>
        </w:rPr>
        <w:t>为</w:t>
      </w:r>
      <w:r>
        <w:rPr>
          <w:rFonts w:ascii="Times New Roman" w:eastAsia="方正仿宋_GBK" w:cs="方正仿宋_GBK" w:hAnsi="Times New Roman" w:hint="eastAsia"/>
          <w:b w:val="0"/>
          <w:bCs w:val="0"/>
          <w:sz w:val="32"/>
          <w:szCs w:val="32"/>
          <w:lang w:val="en-US" w:eastAsia="zh-CN"/>
        </w:rPr>
        <w:t>贯彻过紧日子苦日子思想，落实区级增收节支措施，一般公共预算项目支出拨款</w:t>
      </w:r>
      <w:r>
        <w:rPr>
          <w:rFonts w:eastAsia="方正仿宋_GBK" w:cs="方正仿宋_GBK" w:hint="eastAsia"/>
          <w:b w:val="0"/>
          <w:bCs w:val="0"/>
          <w:sz w:val="32"/>
          <w:szCs w:val="32"/>
          <w:lang w:val="en-US" w:eastAsia="zh-CN"/>
        </w:rPr>
        <w:t>减少</w:t>
      </w:r>
      <w:r>
        <w:rPr>
          <w:rFonts w:ascii="Times New Roman" w:eastAsia="方正仿宋_GBK" w:cs="方正仿宋_GBK" w:hAnsi="Times New Roman" w:hint="eastAsia"/>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一般公共预算财政拨款收支总体情况</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sz w:val="32"/>
          <w:lang w:val="en-US" w:eastAsia="zh-CN"/>
        </w:rPr>
        <w:t>收入情况。</w:t>
      </w:r>
      <w:r>
        <w:rPr>
          <w:rFonts w:ascii="Times New Roman" w:eastAsia="方正仿宋_GBK" w:cs="方正仿宋_GBK" w:hAnsi="Times New Roman" w:hint="eastAsia"/>
          <w:color w:val="auto"/>
          <w:sz w:val="32"/>
        </w:rPr>
        <w:t>202</w:t>
      </w:r>
      <w:r>
        <w:rPr>
          <w:rFonts w:ascii="Times New Roman" w:eastAsia="方正仿宋_GBK" w:cs="方正仿宋_GBK" w:hAnsi="Times New Roman" w:hint="eastAsia"/>
          <w:color w:val="auto"/>
          <w:sz w:val="32"/>
          <w:lang w:val="en-US" w:eastAsia="zh-CN"/>
        </w:rPr>
        <w:t>4</w:t>
      </w:r>
      <w:r>
        <w:rPr>
          <w:rFonts w:ascii="Times New Roman" w:eastAsia="方正仿宋_GBK" w:cs="方正仿宋_GBK" w:hAnsi="Times New Roman" w:hint="eastAsia"/>
          <w:color w:val="auto"/>
          <w:sz w:val="32"/>
        </w:rPr>
        <w:t>年度一般公共预算财政拨款收入</w:t>
      </w:r>
      <w:r>
        <w:rPr>
          <w:rFonts w:ascii="方正仿宋_GBK" w:eastAsia="方正仿宋_GBK" w:cs="方正仿宋_GBK"/>
          <w:sz w:val="32"/>
          <w:szCs w:val="32"/>
        </w:rPr>
        <w:t>19626.73</w:t>
      </w:r>
      <w:r>
        <w:rPr>
          <w:rFonts w:ascii="Times New Roman" w:eastAsia="方正仿宋_GBK" w:cs="方正仿宋_GBK" w:hAnsi="Times New Roman" w:hint="eastAsia"/>
          <w:color w:val="auto"/>
          <w:sz w:val="32"/>
        </w:rPr>
        <w:t>万元，较上年</w:t>
      </w:r>
      <w:r>
        <w:rPr>
          <w:rFonts w:ascii="Times New Roman" w:eastAsia="方正仿宋_GBK" w:cs="方正仿宋_GBK" w:hAnsi="Times New Roman" w:hint="eastAsia"/>
          <w:color w:val="auto"/>
          <w:sz w:val="32"/>
          <w:lang w:val="en-US" w:eastAsia="zh-CN"/>
        </w:rPr>
        <w:t>决算数</w:t>
      </w:r>
      <w:r>
        <w:rPr>
          <w:rFonts w:ascii="方正仿宋_GBK" w:eastAsia="方正仿宋_GBK" w:cs="方正仿宋_GBK"/>
          <w:sz w:val="32"/>
          <w:szCs w:val="32"/>
          <w:shd w:val="clear" w:color="auto" w:fill="FFFFFF"/>
        </w:rPr>
        <w:t>减少2003.89</w:t>
      </w:r>
      <w:r>
        <w:rPr>
          <w:rFonts w:ascii="Times New Roman" w:eastAsia="方正仿宋_GBK" w:cs="方正仿宋_GBK" w:hAnsi="Times New Roman" w:hint="eastAsia"/>
          <w:color w:val="auto"/>
          <w:sz w:val="32"/>
        </w:rPr>
        <w:t>万元，</w:t>
      </w:r>
      <w:r>
        <w:rPr>
          <w:rFonts w:eastAsia="方正仿宋_GBK" w:cs="方正仿宋_GBK" w:hint="eastAsia"/>
          <w:color w:val="auto"/>
          <w:sz w:val="32"/>
          <w:lang w:val="en-US" w:eastAsia="zh-CN"/>
        </w:rPr>
        <w:t>下降9.26</w:t>
      </w:r>
      <w:r>
        <w:rPr>
          <w:rFonts w:ascii="Times New Roman" w:eastAsia="方正仿宋_GBK" w:cs="方正仿宋_GBK" w:hAnsi="Times New Roman" w:hint="eastAsia"/>
          <w:color w:val="auto"/>
          <w:sz w:val="32"/>
        </w:rPr>
        <w:t>%</w:t>
      </w:r>
      <w:r>
        <w:rPr>
          <w:rFonts w:ascii="Times New Roman" w:eastAsia="方正仿宋_GBK" w:cs="方正仿宋_GBK" w:hAnsi="Times New Roman" w:hint="eastAsia"/>
          <w:color w:val="auto"/>
          <w:sz w:val="32"/>
          <w:lang w:eastAsia="zh-CN"/>
        </w:rPr>
        <w:t>，</w:t>
      </w:r>
      <w:r>
        <w:rPr>
          <w:rFonts w:ascii="Times New Roman" w:eastAsia="方正仿宋_GBK" w:cs="方正仿宋_GBK" w:hAnsi="Times New Roman" w:hint="eastAsia"/>
          <w:color w:val="auto"/>
          <w:sz w:val="32"/>
        </w:rPr>
        <w:t>主要原因</w:t>
      </w:r>
      <w:r>
        <w:rPr>
          <w:rFonts w:ascii="Times New Roman" w:eastAsia="方正仿宋_GBK" w:cs="方正仿宋_GBK" w:hAnsi="Times New Roman" w:hint="eastAsia"/>
          <w:color w:val="auto"/>
          <w:sz w:val="32"/>
          <w:lang w:val="en-US" w:eastAsia="zh-CN"/>
        </w:rPr>
        <w:t>为</w:t>
      </w:r>
      <w:r>
        <w:rPr>
          <w:rFonts w:ascii="Times New Roman" w:eastAsia="方正仿宋_GBK" w:cs="方正仿宋_GBK" w:hAnsi="Times New Roman" w:hint="eastAsia"/>
          <w:b w:val="0"/>
          <w:bCs w:val="0"/>
          <w:sz w:val="32"/>
          <w:szCs w:val="32"/>
          <w:lang w:val="en-US" w:eastAsia="zh-CN"/>
        </w:rPr>
        <w:t>贯彻过紧日子苦日子思想，落实区级增收节支措施，项目支出拨款减少。</w:t>
      </w:r>
      <w:r>
        <w:rPr>
          <w:rFonts w:ascii="Times New Roman" w:eastAsia="方正仿宋_GBK" w:cs="方正仿宋_GBK" w:hAnsi="Times New Roman" w:hint="eastAsia"/>
          <w:color w:val="auto"/>
          <w:sz w:val="32"/>
          <w:lang w:val="en-US" w:eastAsia="zh-CN"/>
        </w:rPr>
        <w:t>较年初预算数增加</w:t>
      </w:r>
      <w:r>
        <w:rPr>
          <w:rFonts w:ascii="方正仿宋_GBK" w:eastAsia="方正仿宋_GBK" w:cs="方正仿宋_GBK"/>
          <w:sz w:val="32"/>
          <w:szCs w:val="32"/>
          <w:shd w:val="clear" w:color="auto" w:fill="FFFFFF"/>
        </w:rPr>
        <w:t>410.8</w:t>
      </w:r>
      <w:r>
        <w:rPr>
          <w:rFonts w:ascii="方正仿宋_GBK" w:eastAsia="方正仿宋_GBK" w:cs="方正仿宋_GBK" w:hint="eastAsia"/>
          <w:sz w:val="32"/>
          <w:szCs w:val="32"/>
          <w:shd w:val="clear" w:color="auto" w:fill="FFFFFF"/>
          <w:lang w:val="en-US" w:eastAsia="zh-CN"/>
        </w:rPr>
        <w:t>3</w:t>
      </w:r>
      <w:r>
        <w:rPr>
          <w:rFonts w:ascii="Times New Roman" w:eastAsia="方正仿宋_GBK" w:cs="方正仿宋_GBK" w:hAnsi="Times New Roman" w:hint="eastAsia"/>
          <w:color w:val="auto"/>
          <w:sz w:val="32"/>
          <w:lang w:val="en-US" w:eastAsia="zh-CN"/>
        </w:rPr>
        <w:t>万元，增长</w:t>
      </w:r>
      <w:r>
        <w:rPr>
          <w:rFonts w:eastAsia="方正仿宋_GBK" w:cs="方正仿宋_GBK" w:hint="eastAsia"/>
          <w:color w:val="auto"/>
          <w:sz w:val="32"/>
          <w:lang w:val="en-US" w:eastAsia="zh-CN"/>
        </w:rPr>
        <w:t>2.14</w:t>
      </w:r>
      <w:r>
        <w:rPr>
          <w:rFonts w:ascii="Times New Roman" w:eastAsia="方正仿宋_GBK" w:cs="方正仿宋_GBK" w:hAnsi="Times New Roman" w:hint="eastAsia"/>
          <w:color w:val="auto"/>
          <w:sz w:val="32"/>
          <w:lang w:val="en-US" w:eastAsia="zh-CN"/>
        </w:rPr>
        <w:t>%，主要原因是区住建委执法支队35人划转至本单位</w:t>
      </w:r>
      <w:r>
        <w:rPr>
          <w:rFonts w:eastAsia="方正仿宋_GBK" w:cs="方正仿宋_GBK" w:hint="eastAsia"/>
          <w:color w:val="auto"/>
          <w:sz w:val="32"/>
          <w:lang w:val="en-US" w:eastAsia="zh-CN"/>
        </w:rPr>
        <w:t>，人员及公用经费随之划转，以及追加了江津老城区路灯改造项目尾款、南桥头堡坎护坡立体绿化项目尾款等项目资金</w:t>
      </w:r>
      <w:r>
        <w:rPr>
          <w:rFonts w:ascii="Times New Roman" w:eastAsia="方正仿宋_GBK" w:cs="方正仿宋_GBK" w:hAnsi="Times New Roman" w:hint="eastAsia"/>
          <w:color w:val="auto"/>
          <w:sz w:val="32"/>
          <w:lang w:val="en-US" w:eastAsia="zh-CN"/>
        </w:rPr>
        <w:t>。</w:t>
      </w:r>
      <w:r>
        <w:rPr>
          <w:rFonts w:ascii="Times New Roman" w:eastAsia="方正仿宋_GBK" w:cs="方正仿宋_GBK" w:hAnsi="Times New Roman"/>
          <w:sz w:val="32"/>
          <w:szCs w:val="32"/>
          <w:shd w:val="clear" w:color="auto" w:fill="FFFFFF"/>
        </w:rPr>
        <w:t>此外，年初财政拨款结转和结余</w:t>
      </w:r>
      <w:r>
        <w:rPr>
          <w:rFonts w:ascii="方正仿宋_GBK" w:eastAsia="方正仿宋_GBK" w:cs="方正仿宋_GBK"/>
          <w:sz w:val="32"/>
          <w:szCs w:val="32"/>
        </w:rPr>
        <w:t>0.00</w:t>
      </w:r>
      <w:r>
        <w:rPr>
          <w:rFonts w:ascii="Times New Roman" w:eastAsia="方正仿宋_GBK" w:cs="方正仿宋_GBK" w:hAnsi="Times New Roman"/>
          <w:sz w:val="32"/>
          <w:szCs w:val="32"/>
          <w:shd w:val="clear" w:color="auto" w:fill="FFFFFF"/>
        </w:rPr>
        <w:t>万元。</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sz w:val="32"/>
          <w:lang w:val="en-US" w:eastAsia="zh-CN"/>
        </w:rPr>
        <w:t>支出情况。</w:t>
      </w:r>
      <w:r>
        <w:rPr>
          <w:rFonts w:ascii="Times New Roman" w:eastAsia="方正仿宋_GBK" w:cs="方正仿宋_GBK" w:hAnsi="Times New Roman" w:hint="eastAsia"/>
          <w:color w:val="auto"/>
          <w:sz w:val="32"/>
          <w:lang w:val="en-US" w:eastAsia="zh-CN"/>
        </w:rPr>
        <w:t>2024年度一般公共预算财政拨款支出</w:t>
      </w:r>
      <w:r>
        <w:rPr>
          <w:rFonts w:ascii="方正仿宋_GBK" w:eastAsia="方正仿宋_GBK" w:cs="方正仿宋_GBK"/>
          <w:sz w:val="32"/>
          <w:szCs w:val="32"/>
        </w:rPr>
        <w:t>19626.73</w:t>
      </w:r>
      <w:r>
        <w:rPr>
          <w:rFonts w:ascii="Times New Roman" w:eastAsia="方正仿宋_GBK" w:cs="方正仿宋_GBK" w:hAnsi="Times New Roman" w:hint="eastAsia"/>
          <w:color w:val="auto"/>
          <w:sz w:val="32"/>
          <w:lang w:val="en-US" w:eastAsia="zh-CN"/>
        </w:rPr>
        <w:t>万元，</w:t>
      </w:r>
      <w:r>
        <w:rPr>
          <w:rFonts w:ascii="Times New Roman" w:eastAsia="方正仿宋_GBK" w:cs="方正仿宋_GBK" w:hAnsi="Times New Roman" w:hint="eastAsia"/>
          <w:color w:val="auto"/>
          <w:sz w:val="32"/>
        </w:rPr>
        <w:t>较上年决算数</w:t>
      </w:r>
      <w:r>
        <w:rPr>
          <w:rFonts w:ascii="方正仿宋_GBK" w:eastAsia="方正仿宋_GBK" w:cs="方正仿宋_GBK"/>
          <w:sz w:val="32"/>
          <w:szCs w:val="32"/>
          <w:shd w:val="clear" w:color="auto" w:fill="FFFFFF"/>
        </w:rPr>
        <w:t>减少2003.89</w:t>
      </w:r>
      <w:r>
        <w:rPr>
          <w:rFonts w:ascii="Times New Roman" w:eastAsia="方正仿宋_GBK" w:cs="方正仿宋_GBK" w:hAnsi="Times New Roman" w:hint="eastAsia"/>
          <w:color w:val="auto"/>
          <w:sz w:val="32"/>
        </w:rPr>
        <w:t>万元，</w:t>
      </w:r>
      <w:r>
        <w:rPr>
          <w:rFonts w:eastAsia="方正仿宋_GBK" w:cs="方正仿宋_GBK" w:hint="eastAsia"/>
          <w:color w:val="auto"/>
          <w:sz w:val="32"/>
          <w:lang w:val="en-US" w:eastAsia="zh-CN"/>
        </w:rPr>
        <w:t>下降9.26</w:t>
      </w:r>
      <w:r>
        <w:rPr>
          <w:rFonts w:ascii="Times New Roman" w:eastAsia="方正仿宋_GBK" w:cs="方正仿宋_GBK" w:hAnsi="Times New Roman" w:hint="eastAsia"/>
          <w:color w:val="auto"/>
          <w:sz w:val="32"/>
        </w:rPr>
        <w:t>%</w:t>
      </w:r>
      <w:r>
        <w:rPr>
          <w:rFonts w:ascii="Times New Roman" w:eastAsia="方正仿宋_GBK" w:cs="方正仿宋_GBK" w:hAnsi="Times New Roman" w:hint="eastAsia"/>
          <w:color w:val="auto"/>
          <w:sz w:val="32"/>
          <w:lang w:eastAsia="zh-CN"/>
        </w:rPr>
        <w:t>，</w:t>
      </w:r>
      <w:r>
        <w:rPr>
          <w:rFonts w:ascii="Times New Roman" w:eastAsia="方正仿宋_GBK" w:cs="方正仿宋_GBK" w:hAnsi="Times New Roman" w:hint="eastAsia"/>
          <w:color w:val="auto"/>
          <w:sz w:val="32"/>
        </w:rPr>
        <w:t>主要原因</w:t>
      </w:r>
      <w:r>
        <w:rPr>
          <w:rFonts w:ascii="Times New Roman" w:eastAsia="方正仿宋_GBK" w:cs="方正仿宋_GBK" w:hAnsi="Times New Roman" w:hint="eastAsia"/>
          <w:color w:val="auto"/>
          <w:sz w:val="32"/>
          <w:lang w:val="en-US" w:eastAsia="zh-CN"/>
        </w:rPr>
        <w:t>为</w:t>
      </w:r>
      <w:r>
        <w:rPr>
          <w:rFonts w:ascii="Times New Roman" w:eastAsia="方正仿宋_GBK" w:cs="方正仿宋_GBK" w:hAnsi="Times New Roman" w:hint="eastAsia"/>
          <w:b w:val="0"/>
          <w:bCs w:val="0"/>
          <w:sz w:val="32"/>
          <w:szCs w:val="32"/>
          <w:lang w:val="en-US" w:eastAsia="zh-CN"/>
        </w:rPr>
        <w:t>贯彻过紧日子苦日子思想，落实区级增收节支措施，项目支出拨款减少。</w:t>
      </w:r>
      <w:r>
        <w:rPr>
          <w:rFonts w:ascii="Times New Roman" w:eastAsia="方正仿宋_GBK" w:cs="方正仿宋_GBK" w:hAnsi="Times New Roman" w:hint="eastAsia"/>
          <w:color w:val="auto"/>
          <w:sz w:val="32"/>
          <w:lang w:val="en-US" w:eastAsia="zh-CN"/>
        </w:rPr>
        <w:t>较年初预算数增加</w:t>
      </w:r>
      <w:r>
        <w:rPr>
          <w:rFonts w:ascii="方正仿宋_GBK" w:eastAsia="方正仿宋_GBK" w:cs="方正仿宋_GBK"/>
          <w:sz w:val="32"/>
          <w:szCs w:val="32"/>
          <w:shd w:val="clear" w:color="auto" w:fill="FFFFFF"/>
        </w:rPr>
        <w:t>410.8</w:t>
      </w:r>
      <w:r>
        <w:rPr>
          <w:rFonts w:ascii="方正仿宋_GBK" w:eastAsia="方正仿宋_GBK" w:cs="方正仿宋_GBK" w:hint="eastAsia"/>
          <w:sz w:val="32"/>
          <w:szCs w:val="32"/>
          <w:shd w:val="clear" w:color="auto" w:fill="FFFFFF"/>
          <w:lang w:val="en-US" w:eastAsia="zh-CN"/>
        </w:rPr>
        <w:t>3</w:t>
      </w:r>
      <w:r>
        <w:rPr>
          <w:rFonts w:ascii="Times New Roman" w:eastAsia="方正仿宋_GBK" w:cs="方正仿宋_GBK" w:hAnsi="Times New Roman" w:hint="eastAsia"/>
          <w:color w:val="auto"/>
          <w:sz w:val="32"/>
          <w:lang w:val="en-US" w:eastAsia="zh-CN"/>
        </w:rPr>
        <w:t>万元，增长</w:t>
      </w:r>
      <w:r>
        <w:rPr>
          <w:rFonts w:eastAsia="方正仿宋_GBK" w:cs="方正仿宋_GBK" w:hint="eastAsia"/>
          <w:color w:val="auto"/>
          <w:sz w:val="32"/>
          <w:lang w:val="en-US" w:eastAsia="zh-CN"/>
        </w:rPr>
        <w:t>2.14</w:t>
      </w:r>
      <w:r>
        <w:rPr>
          <w:rFonts w:ascii="Times New Roman" w:eastAsia="方正仿宋_GBK" w:cs="方正仿宋_GBK" w:hAnsi="Times New Roman" w:hint="eastAsia"/>
          <w:color w:val="auto"/>
          <w:sz w:val="32"/>
          <w:lang w:val="en-US" w:eastAsia="zh-CN"/>
        </w:rPr>
        <w:t>%，主要原因是区住建委执法支队35人划转至本单位</w:t>
      </w:r>
      <w:r>
        <w:rPr>
          <w:rFonts w:eastAsia="方正仿宋_GBK" w:cs="方正仿宋_GBK" w:hint="eastAsia"/>
          <w:color w:val="auto"/>
          <w:sz w:val="32"/>
          <w:lang w:val="en-US" w:eastAsia="zh-CN"/>
        </w:rPr>
        <w:t>，人员及公用经费随之划转，以及追加了江津老城区路灯改造项目尾款、南桥头堡坎护坡立体绿化项目尾款等项目资金</w:t>
      </w:r>
      <w:r>
        <w:rPr>
          <w:rFonts w:ascii="Times New Roman" w:eastAsia="方正仿宋_GBK" w:cs="方正仿宋_GBK" w:hAnsi="Times New Roman" w:hint="eastAsia"/>
          <w:color w:val="auto"/>
          <w:sz w:val="32"/>
          <w:lang w:val="en-US" w:eastAsia="zh-CN"/>
        </w:rPr>
        <w:t>。</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color w:val="auto"/>
          <w:sz w:val="32"/>
          <w:lang w:val="en-US" w:eastAsia="zh-CN"/>
        </w:rPr>
        <w:t>结转结余情况。</w:t>
      </w:r>
      <w:r>
        <w:rPr>
          <w:rFonts w:ascii="Times New Roman" w:eastAsia="方正仿宋_GBK" w:cs="方正仿宋_GBK" w:hAnsi="Times New Roman" w:hint="eastAsia"/>
          <w:sz w:val="32"/>
          <w:szCs w:val="32"/>
          <w:shd w:val="clear" w:color="auto" w:fill="FFFFFF"/>
          <w:lang w:eastAsia="zh-CN"/>
        </w:rPr>
        <w:t>2024年</w:t>
      </w:r>
      <w:r>
        <w:rPr>
          <w:rFonts w:ascii="Times New Roman" w:eastAsia="方正仿宋_GBK" w:cs="方正仿宋_GBK" w:hAnsi="Times New Roman"/>
          <w:sz w:val="32"/>
          <w:szCs w:val="32"/>
          <w:shd w:val="clear" w:color="auto" w:fill="FFFFFF"/>
        </w:rPr>
        <w:t>度年末一般公共预算财政拨款结转和结余</w:t>
      </w:r>
      <w:r>
        <w:rPr>
          <w:rFonts w:ascii="方正仿宋_GBK" w:eastAsia="方正仿宋_GBK" w:cs="方正仿宋_GBK"/>
          <w:sz w:val="32"/>
          <w:szCs w:val="32"/>
        </w:rPr>
        <w:t>0.00</w:t>
      </w:r>
      <w:r>
        <w:rPr>
          <w:rFonts w:ascii="Times New Roman" w:eastAsia="方正仿宋_GBK" w:cs="方正仿宋_GBK" w:hAnsi="Times New Roman"/>
          <w:sz w:val="32"/>
          <w:szCs w:val="32"/>
          <w:shd w:val="clear" w:color="auto" w:fill="FFFFFF"/>
        </w:rPr>
        <w:t>万元，与2023年度相比</w:t>
      </w:r>
      <w:r>
        <w:rPr>
          <w:rFonts w:eastAsia="方正仿宋_GBK" w:cs="方正仿宋_GBK" w:hint="eastAsia"/>
          <w:sz w:val="32"/>
          <w:szCs w:val="32"/>
          <w:shd w:val="clear" w:color="auto" w:fill="FFFFFF"/>
          <w:lang w:val="en-US" w:eastAsia="zh-CN"/>
        </w:rPr>
        <w:t>无增减</w:t>
      </w:r>
      <w:r>
        <w:rPr>
          <w:rFonts w:ascii="Times New Roman" w:eastAsia="方正仿宋_GBK" w:cs="方正仿宋_GBK" w:hAnsi="Times New Roman" w:hint="eastAsia"/>
          <w:sz w:val="32"/>
          <w:szCs w:val="32"/>
          <w:shd w:val="clear" w:color="auto" w:fill="FFFFFF"/>
          <w:lang w:val="en-US" w:eastAsia="zh-CN"/>
        </w:rPr>
        <w:t>。</w:t>
      </w:r>
    </w:p>
    <w:p>
      <w:pPr>
        <w:pStyle w:val="18"/>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b/>
          <w:bCs/>
          <w:kern w:val="2"/>
          <w:sz w:val="32"/>
          <w:szCs w:val="22"/>
          <w:lang w:val="en-US" w:eastAsia="zh-CN" w:bidi="ar-SA"/>
        </w:rPr>
        <w:t>比较情况。</w:t>
      </w:r>
      <w:r>
        <w:rPr>
          <w:rFonts w:ascii="Times New Roman" w:eastAsia="方正仿宋_GBK" w:cs="方正仿宋_GBK" w:hAnsi="Times New Roman" w:hint="eastAsia"/>
          <w:color w:val="auto"/>
          <w:sz w:val="32"/>
          <w:lang w:val="en-US" w:eastAsia="zh-CN"/>
        </w:rPr>
        <w:t>本部门2024年度一般公共预算财政拨款支出主要用于以下几个方面：</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教育支出</w:t>
      </w:r>
      <w:r>
        <w:rPr>
          <w:rFonts w:ascii="方正仿宋_GBK" w:eastAsia="方正仿宋_GBK" w:cs="方正仿宋_GBK"/>
          <w:sz w:val="32"/>
          <w:szCs w:val="32"/>
        </w:rPr>
        <w:t>4.72</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0.02</w:t>
      </w:r>
      <w:r>
        <w:rPr>
          <w:rFonts w:ascii="方正仿宋_GBK" w:eastAsia="方正仿宋_GBK" w:cs="方正仿宋_GBK"/>
          <w:sz w:val="32"/>
          <w:szCs w:val="32"/>
          <w:shd w:val="clear" w:color="auto" w:fill="FFFFFF"/>
        </w:rPr>
        <w:t>%，较年初预算数减少10.16万元，下降68.3</w:t>
      </w:r>
      <w:r>
        <w:rPr>
          <w:rFonts w:ascii="方正仿宋_GBK" w:eastAsia="方正仿宋_GBK" w:cs="方正仿宋_GBK" w:hint="eastAsia"/>
          <w:sz w:val="32"/>
          <w:szCs w:val="32"/>
          <w:shd w:val="clear" w:color="auto" w:fill="FFFFFF"/>
          <w:lang w:val="en-US" w:eastAsia="zh-CN"/>
        </w:rPr>
        <w:t>0</w:t>
      </w:r>
      <w:r>
        <w:rPr>
          <w:rFonts w:ascii="方正仿宋_GBK" w:eastAsia="方正仿宋_GBK" w:cs="方正仿宋_GBK"/>
          <w:sz w:val="32"/>
          <w:szCs w:val="32"/>
          <w:shd w:val="clear" w:color="auto" w:fill="FFFFFF"/>
        </w:rPr>
        <w:t>%，</w:t>
      </w:r>
      <w:r>
        <w:rPr>
          <w:rFonts w:ascii="方正仿宋_GBK" w:eastAsia="方正仿宋_GBK" w:cs="方正仿宋_GBK" w:hint="eastAsia"/>
          <w:sz w:val="32"/>
          <w:szCs w:val="32"/>
          <w:shd w:val="clear" w:color="auto" w:fill="FFFFFF"/>
          <w:lang w:val="en-US" w:eastAsia="zh-CN"/>
        </w:rPr>
        <w:t>主要原因是</w:t>
      </w:r>
      <w:r>
        <w:rPr>
          <w:rFonts w:ascii="Times New Roman" w:eastAsia="方正仿宋_GBK" w:cs="方正仿宋_GBK" w:hAnsi="Times New Roman" w:hint="eastAsia"/>
          <w:sz w:val="32"/>
          <w:lang w:val="en-US" w:eastAsia="zh-CN"/>
        </w:rPr>
        <w:t>贯彻过紧日子苦日子思想，减少教育培训费开支</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方正仿宋_GBK" w:eastAsia="方正仿宋_GBK" w:cs="方正仿宋_GBK"/>
          <w:sz w:val="32"/>
          <w:szCs w:val="32"/>
          <w:shd w:val="clear" w:color="auto" w:fill="FFFFFF"/>
        </w:rPr>
        <w:t>社会保障与就业支出</w:t>
      </w:r>
      <w:r>
        <w:rPr>
          <w:rFonts w:ascii="方正仿宋_GBK" w:eastAsia="方正仿宋_GBK" w:cs="方正仿宋_GBK"/>
          <w:sz w:val="32"/>
          <w:szCs w:val="32"/>
        </w:rPr>
        <w:t>537.78</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2.74</w:t>
      </w:r>
      <w:r>
        <w:rPr>
          <w:rFonts w:ascii="方正仿宋_GBK" w:eastAsia="方正仿宋_GBK" w:cs="方正仿宋_GBK"/>
          <w:sz w:val="32"/>
          <w:szCs w:val="32"/>
          <w:shd w:val="clear" w:color="auto" w:fill="FFFFFF"/>
        </w:rPr>
        <w:t>%，较年初预算数增加91.30万元，增长20.</w:t>
      </w:r>
      <w:r>
        <w:rPr>
          <w:rFonts w:ascii="方正仿宋_GBK" w:eastAsia="方正仿宋_GBK" w:cs="方正仿宋_GBK" w:hint="eastAsia"/>
          <w:sz w:val="32"/>
          <w:szCs w:val="32"/>
          <w:shd w:val="clear" w:color="auto" w:fill="FFFFFF"/>
          <w:lang w:val="en-US" w:eastAsia="zh-CN"/>
        </w:rPr>
        <w:t>45</w:t>
      </w:r>
      <w:r>
        <w:rPr>
          <w:rFonts w:ascii="方正仿宋_GBK" w:eastAsia="方正仿宋_GBK" w:cs="方正仿宋_GBK"/>
          <w:sz w:val="32"/>
          <w:szCs w:val="32"/>
          <w:shd w:val="clear" w:color="auto" w:fill="FFFFFF"/>
        </w:rPr>
        <w:t>%，主要原因是</w:t>
      </w:r>
      <w:r>
        <w:rPr>
          <w:rFonts w:ascii="Times New Roman" w:eastAsia="方正仿宋_GBK" w:cs="方正仿宋_GBK" w:hAnsi="Times New Roman" w:hint="eastAsia"/>
          <w:color w:val="auto"/>
          <w:sz w:val="32"/>
          <w:lang w:val="en-US" w:eastAsia="zh-CN"/>
        </w:rPr>
        <w:t>区住建委执法支队35人划转至本单位</w:t>
      </w:r>
      <w:r>
        <w:rPr>
          <w:rFonts w:eastAsia="方正仿宋_GBK" w:cs="方正仿宋_GBK" w:hint="eastAsia"/>
          <w:color w:val="auto"/>
          <w:sz w:val="32"/>
          <w:lang w:val="en-US" w:eastAsia="zh-CN"/>
        </w:rPr>
        <w:t>，以及退休5人，导致社保缴费和退休一次性补贴增加</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（3）</w:t>
      </w:r>
      <w:r>
        <w:rPr>
          <w:rFonts w:ascii="方正仿宋_GBK" w:eastAsia="方正仿宋_GBK" w:cs="方正仿宋_GBK"/>
          <w:sz w:val="32"/>
          <w:szCs w:val="32"/>
          <w:shd w:val="clear" w:color="auto" w:fill="FFFFFF"/>
        </w:rPr>
        <w:t>卫生健康支出</w:t>
      </w:r>
      <w:r>
        <w:rPr>
          <w:rFonts w:ascii="方正仿宋_GBK" w:eastAsia="方正仿宋_GBK" w:cs="方正仿宋_GBK"/>
          <w:sz w:val="32"/>
          <w:szCs w:val="32"/>
        </w:rPr>
        <w:t>186.26</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0.95</w:t>
      </w:r>
      <w:r>
        <w:rPr>
          <w:rFonts w:ascii="方正仿宋_GBK" w:eastAsia="方正仿宋_GBK" w:cs="方正仿宋_GBK"/>
          <w:sz w:val="32"/>
          <w:szCs w:val="32"/>
          <w:shd w:val="clear" w:color="auto" w:fill="FFFFFF"/>
        </w:rPr>
        <w:t>%，较年初预算数增加6.48万元，增长3.6</w:t>
      </w:r>
      <w:r>
        <w:rPr>
          <w:rFonts w:ascii="方正仿宋_GBK" w:eastAsia="方正仿宋_GBK" w:cs="方正仿宋_GBK" w:hint="eastAsia"/>
          <w:sz w:val="32"/>
          <w:szCs w:val="32"/>
          <w:shd w:val="clear" w:color="auto" w:fill="FFFFFF"/>
          <w:lang w:val="en-US" w:eastAsia="zh-CN"/>
        </w:rPr>
        <w:t>0</w:t>
      </w:r>
      <w:r>
        <w:rPr>
          <w:rFonts w:ascii="方正仿宋_GBK" w:eastAsia="方正仿宋_GBK" w:cs="方正仿宋_GBK"/>
          <w:sz w:val="32"/>
          <w:szCs w:val="32"/>
          <w:shd w:val="clear" w:color="auto" w:fill="FFFFFF"/>
        </w:rPr>
        <w:t>%，主要原因是</w:t>
      </w:r>
      <w:r>
        <w:rPr>
          <w:rFonts w:ascii="Times New Roman" w:eastAsia="方正仿宋_GBK" w:cs="方正仿宋_GBK" w:hAnsi="Times New Roman" w:hint="eastAsia"/>
          <w:color w:val="auto"/>
          <w:sz w:val="32"/>
          <w:lang w:val="en-US" w:eastAsia="zh-CN"/>
        </w:rPr>
        <w:t>区住建委执法支队35人划转至本单位</w:t>
      </w:r>
      <w:r>
        <w:rPr>
          <w:rFonts w:eastAsia="方正仿宋_GBK" w:cs="方正仿宋_GBK" w:hint="eastAsia"/>
          <w:color w:val="auto"/>
          <w:sz w:val="32"/>
          <w:lang w:val="en-US" w:eastAsia="zh-CN"/>
        </w:rPr>
        <w:t>，导致医保缴费增加</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方正仿宋_GBK" w:eastAsia="方正仿宋_GBK" w:cs="方正仿宋_GBK" w:hint="eastAsia"/>
          <w:sz w:val="32"/>
          <w:szCs w:val="32"/>
          <w:shd w:val="clear" w:color="auto" w:fill="FFFFFF"/>
          <w:lang w:eastAsia="zh-CN"/>
        </w:rPr>
      </w:pPr>
      <w:r>
        <w:rPr>
          <w:rFonts w:ascii="Times New Roman" w:eastAsia="方正仿宋_GBK" w:cs="方正仿宋_GBK" w:hAnsi="Times New Roman" w:hint="eastAsia"/>
          <w:color w:val="auto"/>
          <w:sz w:val="32"/>
          <w:lang w:val="en-US" w:eastAsia="zh-CN"/>
        </w:rPr>
        <w:t>（4）</w:t>
      </w:r>
      <w:r>
        <w:rPr>
          <w:rFonts w:ascii="方正仿宋_GBK" w:eastAsia="方正仿宋_GBK" w:cs="方正仿宋_GBK"/>
          <w:sz w:val="32"/>
          <w:szCs w:val="32"/>
          <w:shd w:val="clear" w:color="auto" w:fill="FFFFFF"/>
        </w:rPr>
        <w:t>节能环保支出</w:t>
      </w:r>
      <w:r>
        <w:rPr>
          <w:rFonts w:ascii="方正仿宋_GBK" w:eastAsia="方正仿宋_GBK" w:cs="方正仿宋_GBK"/>
          <w:sz w:val="32"/>
          <w:szCs w:val="32"/>
        </w:rPr>
        <w:t>7795.00</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39.72</w:t>
      </w:r>
      <w:r>
        <w:rPr>
          <w:rFonts w:ascii="方正仿宋_GBK" w:eastAsia="方正仿宋_GBK" w:cs="方正仿宋_GBK"/>
          <w:sz w:val="32"/>
          <w:szCs w:val="32"/>
          <w:shd w:val="clear" w:color="auto" w:fill="FFFFFF"/>
        </w:rPr>
        <w:t>%，较年初预算数增加7684.00万元，增长6922.5%，主要原因是</w:t>
      </w:r>
      <w:r>
        <w:rPr>
          <w:rFonts w:ascii="Times New Roman" w:eastAsia="方正仿宋_GBK" w:cs="方正仿宋_GBK" w:hAnsi="Times New Roman" w:hint="eastAsia"/>
          <w:color w:val="auto"/>
          <w:sz w:val="32"/>
          <w:lang w:val="en-US" w:eastAsia="zh-CN"/>
        </w:rPr>
        <w:t>按照决算口径，将年初预算功能分类为城乡社区环境卫生支出的“全区生活及餐厨垃圾收运处置”和“双宝垃圾处理场渗滤液处置”两个项目调剂至本功能分类科目</w:t>
      </w:r>
      <w:r>
        <w:rPr>
          <w:rFonts w:ascii="方正仿宋_GBK" w:eastAsia="方正仿宋_GBK" w:cs="方正仿宋_GBK" w:hint="eastAsia"/>
          <w:sz w:val="32"/>
          <w:szCs w:val="32"/>
          <w:shd w:val="clear" w:color="auto" w:fill="FFFFFF"/>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方正仿宋_GBK" w:eastAsia="方正仿宋_GBK" w:cs="方正仿宋_GBK" w:hint="eastAsia"/>
          <w:sz w:val="32"/>
          <w:szCs w:val="32"/>
          <w:shd w:val="clear" w:color="auto" w:fill="FFFFFF"/>
          <w:lang w:val="en-US" w:eastAsia="zh-CN"/>
        </w:rPr>
      </w:pP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hint="eastAsia"/>
          <w:sz w:val="32"/>
          <w:szCs w:val="32"/>
          <w:shd w:val="clear" w:color="auto" w:fill="FFFFFF"/>
          <w:lang w:val="en-US" w:eastAsia="zh-CN"/>
        </w:rPr>
        <w:t>5</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城乡社区支出</w:t>
      </w:r>
      <w:r>
        <w:rPr>
          <w:rFonts w:ascii="方正仿宋_GBK" w:eastAsia="方正仿宋_GBK" w:cs="方正仿宋_GBK"/>
          <w:sz w:val="32"/>
          <w:szCs w:val="32"/>
        </w:rPr>
        <w:t>10931.8</w:t>
      </w:r>
      <w:r>
        <w:rPr>
          <w:rFonts w:ascii="方正仿宋_GBK" w:eastAsia="方正仿宋_GBK" w:cs="方正仿宋_GBK" w:hint="eastAsia"/>
          <w:sz w:val="32"/>
          <w:szCs w:val="32"/>
          <w:lang w:val="en-US" w:eastAsia="zh-CN"/>
        </w:rPr>
        <w:t>1</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55.70</w:t>
      </w:r>
      <w:r>
        <w:rPr>
          <w:rFonts w:ascii="方正仿宋_GBK" w:eastAsia="方正仿宋_GBK" w:cs="方正仿宋_GBK"/>
          <w:sz w:val="32"/>
          <w:szCs w:val="32"/>
          <w:shd w:val="clear" w:color="auto" w:fill="FFFFFF"/>
        </w:rPr>
        <w:t>%，较年初预算数减少7371.48万元，下降40.</w:t>
      </w:r>
      <w:r>
        <w:rPr>
          <w:rFonts w:ascii="方正仿宋_GBK" w:eastAsia="方正仿宋_GBK" w:cs="方正仿宋_GBK" w:hint="eastAsia"/>
          <w:sz w:val="32"/>
          <w:szCs w:val="32"/>
          <w:shd w:val="clear" w:color="auto" w:fill="FFFFFF"/>
          <w:lang w:val="en-US" w:eastAsia="zh-CN"/>
        </w:rPr>
        <w:t>27</w:t>
      </w:r>
      <w:r>
        <w:rPr>
          <w:rFonts w:ascii="方正仿宋_GBK" w:eastAsia="方正仿宋_GBK" w:cs="方正仿宋_GBK"/>
          <w:sz w:val="32"/>
          <w:szCs w:val="32"/>
          <w:shd w:val="clear" w:color="auto" w:fill="FFFFFF"/>
        </w:rPr>
        <w:t>%，主要原因是</w:t>
      </w:r>
      <w:r>
        <w:rPr>
          <w:rFonts w:ascii="Times New Roman" w:eastAsia="方正仿宋_GBK" w:cs="方正仿宋_GBK" w:hAnsi="Times New Roman" w:hint="eastAsia"/>
          <w:color w:val="auto"/>
          <w:sz w:val="32"/>
          <w:lang w:val="en-US" w:eastAsia="zh-CN"/>
        </w:rPr>
        <w:t>主要原因是“全区生活及餐厨垃圾收运处置”和“双宝垃圾处理场渗滤液处置”两个项目调剂至节能环保支出分类，以及落实过紧日子要求，区财政收回城市管理考评以奖代补等项目资金</w:t>
      </w:r>
      <w:r>
        <w:rPr>
          <w:rFonts w:ascii="方正仿宋_GBK" w:eastAsia="方正仿宋_GBK" w:cs="方正仿宋_GBK" w:hint="eastAsia"/>
          <w:sz w:val="32"/>
          <w:szCs w:val="32"/>
          <w:shd w:val="clear" w:color="auto" w:fill="FFFFFF"/>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eastAsia="方正仿宋_GBK" w:cs="方正仿宋_GBK" w:hint="eastAsia"/>
          <w:color w:val="auto"/>
          <w:sz w:val="32"/>
          <w:lang w:val="en-US" w:eastAsia="zh-CN"/>
        </w:rPr>
        <w:t>（6）</w:t>
      </w:r>
      <w:r>
        <w:rPr>
          <w:rFonts w:ascii="方正仿宋_GBK" w:eastAsia="方正仿宋_GBK" w:cs="方正仿宋_GBK"/>
          <w:sz w:val="32"/>
          <w:szCs w:val="32"/>
        </w:rPr>
        <w:t>住房保障支出171.16</w:t>
      </w:r>
      <w:r>
        <w:rPr>
          <w:rFonts w:ascii="方正仿宋_GBK" w:eastAsia="方正仿宋_GBK" w:cs="方正仿宋_GBK"/>
          <w:sz w:val="32"/>
          <w:szCs w:val="32"/>
          <w:shd w:val="clear" w:color="auto" w:fill="FFFFFF"/>
        </w:rPr>
        <w:t>万元，占</w:t>
      </w:r>
      <w:r>
        <w:rPr>
          <w:rFonts w:ascii="方正仿宋_GBK" w:eastAsia="方正仿宋_GBK" w:cs="方正仿宋_GBK"/>
          <w:sz w:val="32"/>
          <w:szCs w:val="32"/>
        </w:rPr>
        <w:t>0.87</w:t>
      </w:r>
      <w:r>
        <w:rPr>
          <w:rFonts w:ascii="方正仿宋_GBK" w:eastAsia="方正仿宋_GBK" w:cs="方正仿宋_GBK"/>
          <w:sz w:val="32"/>
          <w:szCs w:val="32"/>
          <w:shd w:val="clear" w:color="auto" w:fill="FFFFFF"/>
        </w:rPr>
        <w:t>%，较年初预算数增加10.68万元，增长6.</w:t>
      </w:r>
      <w:r>
        <w:rPr>
          <w:rFonts w:ascii="方正仿宋_GBK" w:eastAsia="方正仿宋_GBK" w:cs="方正仿宋_GBK" w:hint="eastAsia"/>
          <w:sz w:val="32"/>
          <w:szCs w:val="32"/>
          <w:shd w:val="clear" w:color="auto" w:fill="FFFFFF"/>
          <w:lang w:val="en-US" w:eastAsia="zh-CN"/>
        </w:rPr>
        <w:t>65</w:t>
      </w:r>
      <w:r>
        <w:rPr>
          <w:rFonts w:ascii="方正仿宋_GBK" w:eastAsia="方正仿宋_GBK" w:cs="方正仿宋_GBK"/>
          <w:sz w:val="32"/>
          <w:szCs w:val="32"/>
          <w:shd w:val="clear" w:color="auto" w:fill="FFFFFF"/>
        </w:rPr>
        <w:t>%，主要原因是</w:t>
      </w:r>
      <w:r>
        <w:rPr>
          <w:rFonts w:ascii="Times New Roman" w:eastAsia="方正仿宋_GBK" w:cs="方正仿宋_GBK" w:hAnsi="Times New Roman" w:hint="eastAsia"/>
          <w:color w:val="auto"/>
          <w:sz w:val="32"/>
          <w:lang w:val="en-US" w:eastAsia="zh-CN"/>
        </w:rPr>
        <w:t>区住建委执法支队35人划转至本单位</w:t>
      </w:r>
      <w:r>
        <w:rPr>
          <w:rFonts w:eastAsia="方正仿宋_GBK" w:cs="方正仿宋_GBK" w:hint="eastAsia"/>
          <w:color w:val="auto"/>
          <w:sz w:val="32"/>
          <w:lang w:val="en-US" w:eastAsia="zh-CN"/>
        </w:rPr>
        <w:t>以及工资调标，导致公积金缴费增加。</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一般公共预算财政拨款基本支出情况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2024年度一般公共预算财政拨款基本支出</w:t>
      </w:r>
      <w:r>
        <w:rPr>
          <w:rFonts w:eastAsia="方正仿宋_GBK" w:cs="方正仿宋_GBK" w:hint="eastAsia"/>
          <w:color w:val="auto"/>
          <w:sz w:val="32"/>
          <w:lang w:val="en-US" w:eastAsia="zh-CN"/>
        </w:rPr>
        <w:t>3328.13</w:t>
      </w:r>
      <w:r>
        <w:rPr>
          <w:rFonts w:ascii="Times New Roman" w:eastAsia="方正仿宋_GBK" w:cs="方正仿宋_GBK" w:hAnsi="Times New Roman" w:hint="eastAsia"/>
          <w:color w:val="auto"/>
          <w:sz w:val="32"/>
          <w:lang w:val="en-US" w:eastAsia="zh-CN"/>
        </w:rPr>
        <w:t>万元。其中：人员经费</w:t>
      </w:r>
      <w:r>
        <w:rPr>
          <w:rFonts w:ascii="方正仿宋_GBK" w:eastAsia="方正仿宋_GBK" w:cs="方正仿宋_GBK"/>
          <w:sz w:val="32"/>
          <w:szCs w:val="32"/>
        </w:rPr>
        <w:t>2807.07</w:t>
      </w:r>
      <w:r>
        <w:rPr>
          <w:rFonts w:ascii="Times New Roman" w:eastAsia="方正仿宋_GBK" w:cs="方正仿宋_GBK" w:hAnsi="Times New Roman" w:hint="eastAsia"/>
          <w:color w:val="auto"/>
          <w:sz w:val="32"/>
          <w:lang w:val="en-US" w:eastAsia="zh-CN"/>
        </w:rPr>
        <w:t>万元，主要用于在职人员工资、奖金、津补贴、社保、公积金及退休人员健康休养费等支出，较上年决算数增加</w:t>
      </w:r>
      <w:r>
        <w:rPr>
          <w:rFonts w:ascii="方正仿宋_GBK" w:eastAsia="方正仿宋_GBK" w:cs="方正仿宋_GBK"/>
          <w:sz w:val="32"/>
          <w:szCs w:val="32"/>
          <w:shd w:val="clear" w:color="auto" w:fill="FFFFFF"/>
        </w:rPr>
        <w:t>237.74</w:t>
      </w:r>
      <w:r>
        <w:rPr>
          <w:rFonts w:ascii="Times New Roman" w:eastAsia="方正仿宋_GBK" w:cs="方正仿宋_GBK" w:hAnsi="Times New Roman" w:hint="eastAsia"/>
          <w:color w:val="auto"/>
          <w:sz w:val="32"/>
          <w:lang w:val="en-US" w:eastAsia="zh-CN"/>
        </w:rPr>
        <w:t>万元，增长</w:t>
      </w:r>
      <w:r>
        <w:rPr>
          <w:rFonts w:eastAsia="方正仿宋_GBK" w:cs="方正仿宋_GBK" w:hint="eastAsia"/>
          <w:color w:val="auto"/>
          <w:sz w:val="32"/>
          <w:lang w:val="en-US" w:eastAsia="zh-CN"/>
        </w:rPr>
        <w:t>9.25</w:t>
      </w:r>
      <w:r>
        <w:rPr>
          <w:rFonts w:ascii="Times New Roman" w:eastAsia="方正仿宋_GBK" w:cs="方正仿宋_GBK" w:hAnsi="Times New Roman" w:hint="eastAsia"/>
          <w:color w:val="auto"/>
          <w:sz w:val="32"/>
          <w:lang w:val="en-US" w:eastAsia="zh-CN"/>
        </w:rPr>
        <w:t>%，主要原因是区住建委执法支队35人划转至本单位</w:t>
      </w:r>
      <w:r>
        <w:rPr>
          <w:rFonts w:eastAsia="方正仿宋_GBK" w:cs="方正仿宋_GBK" w:hint="eastAsia"/>
          <w:color w:val="auto"/>
          <w:sz w:val="32"/>
          <w:lang w:val="en-US" w:eastAsia="zh-CN"/>
        </w:rPr>
        <w:t>，导致人员经费增加</w:t>
      </w:r>
      <w:r>
        <w:rPr>
          <w:rFonts w:ascii="Times New Roman" w:eastAsia="方正仿宋_GBK" w:cs="方正仿宋_GBK" w:hAnsi="Times New Roman" w:hint="eastAsia"/>
          <w:color w:val="auto"/>
          <w:sz w:val="32"/>
          <w:lang w:val="en-US" w:eastAsia="zh-CN"/>
        </w:rPr>
        <w:t>。公用经费</w:t>
      </w:r>
      <w:r>
        <w:rPr>
          <w:rFonts w:ascii="方正仿宋_GBK" w:eastAsia="方正仿宋_GBK" w:cs="方正仿宋_GBK"/>
          <w:sz w:val="32"/>
          <w:szCs w:val="32"/>
        </w:rPr>
        <w:t>521.06</w:t>
      </w:r>
      <w:r>
        <w:rPr>
          <w:rFonts w:ascii="Times New Roman" w:eastAsia="方正仿宋_GBK" w:cs="方正仿宋_GBK" w:hAnsi="Times New Roman" w:hint="eastAsia"/>
          <w:color w:val="auto"/>
          <w:sz w:val="32"/>
          <w:lang w:val="en-US" w:eastAsia="zh-CN"/>
        </w:rPr>
        <w:t>万元，主要用于办公、水电、物业、公务接待、公务用车运行维护、培训、食堂采购、工会行政补助、福利费等方面支出，较上年决算数</w:t>
      </w:r>
      <w:r>
        <w:rPr>
          <w:rFonts w:ascii="方正仿宋_GBK" w:eastAsia="方正仿宋_GBK" w:cs="方正仿宋_GBK"/>
          <w:sz w:val="32"/>
          <w:szCs w:val="32"/>
          <w:shd w:val="clear" w:color="auto" w:fill="FFFFFF"/>
        </w:rPr>
        <w:t>35.1</w:t>
      </w:r>
      <w:r>
        <w:rPr>
          <w:rFonts w:ascii="方正仿宋_GBK" w:eastAsia="方正仿宋_GBK" w:cs="方正仿宋_GBK" w:hint="eastAsia"/>
          <w:sz w:val="32"/>
          <w:szCs w:val="32"/>
          <w:shd w:val="clear" w:color="auto" w:fill="FFFFFF"/>
          <w:lang w:val="en-US" w:eastAsia="zh-CN"/>
        </w:rPr>
        <w:t>4</w:t>
      </w:r>
      <w:r>
        <w:rPr>
          <w:rFonts w:ascii="方正仿宋_GBK" w:eastAsia="方正仿宋_GBK" w:cs="方正仿宋_GBK"/>
          <w:sz w:val="32"/>
          <w:szCs w:val="32"/>
          <w:shd w:val="clear" w:color="auto" w:fill="FFFFFF"/>
        </w:rPr>
        <w:t>万元，增长7.2</w:t>
      </w:r>
      <w:r>
        <w:rPr>
          <w:rFonts w:ascii="方正仿宋_GBK" w:eastAsia="方正仿宋_GBK" w:cs="方正仿宋_GBK" w:hint="eastAsia"/>
          <w:sz w:val="32"/>
          <w:szCs w:val="32"/>
          <w:shd w:val="clear" w:color="auto" w:fill="FFFFFF"/>
          <w:lang w:val="en-US" w:eastAsia="zh-CN"/>
        </w:rPr>
        <w:t>3</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color w:val="auto"/>
          <w:sz w:val="32"/>
          <w:lang w:val="en-US" w:eastAsia="zh-CN"/>
        </w:rPr>
        <w:t>，主要原因是区住建委执法支队35人划转至本单位</w:t>
      </w:r>
      <w:r>
        <w:rPr>
          <w:rFonts w:eastAsia="方正仿宋_GBK" w:cs="方正仿宋_GBK" w:hint="eastAsia"/>
          <w:color w:val="auto"/>
          <w:sz w:val="32"/>
          <w:lang w:val="en-US" w:eastAsia="zh-CN"/>
        </w:rPr>
        <w:t>，导致公用经费增加</w:t>
      </w:r>
      <w:r>
        <w:rPr>
          <w:rFonts w:ascii="Times New Roman" w:eastAsia="方正仿宋_GBK" w:cs="方正仿宋_GBK" w:hAnsi="Times New Roman" w:hint="eastAsia"/>
          <w:color w:val="auto"/>
          <w:sz w:val="32"/>
          <w:lang w:val="en-US"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（五）政府性基金预算收支决算情况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color w:val="auto"/>
          <w:sz w:val="32"/>
          <w:szCs w:val="32"/>
          <w:shd w:val="clear" w:color="auto" w:fill="FFFFFF"/>
        </w:rPr>
      </w:pPr>
      <w:r>
        <w:rPr>
          <w:rFonts w:ascii="Times New Roman" w:eastAsia="方正仿宋_GBK" w:cs="方正仿宋_GBK" w:hAnsi="Times New Roman" w:hint="eastAsia"/>
          <w:sz w:val="32"/>
          <w:szCs w:val="32"/>
          <w:shd w:val="clear" w:color="auto" w:fill="FFFFFF"/>
          <w:lang w:eastAsia="zh-CN"/>
        </w:rPr>
        <w:t>2024年</w:t>
      </w:r>
      <w:r>
        <w:rPr>
          <w:rFonts w:ascii="Times New Roman" w:eastAsia="方正仿宋_GBK" w:cs="方正仿宋_GBK" w:hAnsi="Times New Roman"/>
          <w:sz w:val="32"/>
          <w:szCs w:val="32"/>
          <w:shd w:val="clear" w:color="auto" w:fill="FFFFFF"/>
        </w:rPr>
        <w:t>度政府性基金预算财政拨款年初结转结余</w:t>
      </w:r>
      <w:r>
        <w:rPr>
          <w:rFonts w:ascii="方正仿宋_GBK" w:eastAsia="方正仿宋_GBK" w:cs="方正仿宋_GBK"/>
          <w:sz w:val="32"/>
          <w:szCs w:val="32"/>
        </w:rPr>
        <w:t>0.00</w:t>
      </w:r>
      <w:r>
        <w:rPr>
          <w:rFonts w:ascii="Times New Roman" w:eastAsia="方正仿宋_GBK" w:cs="方正仿宋_GBK" w:hAnsi="Times New Roman"/>
          <w:sz w:val="32"/>
          <w:szCs w:val="32"/>
          <w:shd w:val="clear" w:color="auto" w:fill="FFFFFF"/>
        </w:rPr>
        <w:t>万元，年末结转结余</w:t>
      </w:r>
      <w:r>
        <w:rPr>
          <w:rFonts w:ascii="方正仿宋_GBK" w:eastAsia="方正仿宋_GBK" w:cs="方正仿宋_GBK"/>
          <w:sz w:val="32"/>
          <w:szCs w:val="32"/>
        </w:rPr>
        <w:t>0.00</w:t>
      </w:r>
      <w:r>
        <w:rPr>
          <w:rFonts w:ascii="Times New Roman" w:eastAsia="方正仿宋_GBK" w:cs="方正仿宋_GBK" w:hAnsi="Times New Roman"/>
          <w:sz w:val="32"/>
          <w:szCs w:val="32"/>
          <w:shd w:val="clear" w:color="auto" w:fill="FFFFFF"/>
        </w:rPr>
        <w:t>万元。本年收入</w:t>
      </w:r>
      <w:r>
        <w:rPr>
          <w:rFonts w:ascii="方正仿宋_GBK" w:eastAsia="方正仿宋_GBK" w:cs="方正仿宋_GBK"/>
          <w:sz w:val="32"/>
          <w:szCs w:val="32"/>
        </w:rPr>
        <w:t>327.99</w:t>
      </w:r>
      <w:r>
        <w:rPr>
          <w:rFonts w:ascii="Times New Roman" w:eastAsia="方正仿宋_GBK" w:cs="方正仿宋_GBK" w:hAnsi="Times New Roman"/>
          <w:sz w:val="32"/>
          <w:szCs w:val="32"/>
          <w:shd w:val="clear" w:color="auto" w:fill="FFFFFF"/>
        </w:rPr>
        <w:t>万元，与2023年度相比</w:t>
      </w:r>
      <w:r>
        <w:rPr>
          <w:rFonts w:ascii="方正仿宋_GBK" w:eastAsia="方正仿宋_GBK" w:cs="方正仿宋_GBK"/>
          <w:sz w:val="32"/>
          <w:szCs w:val="32"/>
          <w:shd w:val="clear" w:color="auto" w:fill="FFFFFF"/>
        </w:rPr>
        <w:t>增加277.99</w:t>
      </w:r>
      <w:r>
        <w:rPr>
          <w:rFonts w:eastAsia="方正仿宋_GBK" w:cs="方正仿宋_GBK" w:hint="eastAsia"/>
          <w:sz w:val="32"/>
          <w:szCs w:val="32"/>
          <w:shd w:val="clear" w:color="auto" w:fill="FFFFFF"/>
          <w:lang w:val="en-US" w:eastAsia="zh-CN"/>
        </w:rPr>
        <w:t>万元</w:t>
      </w:r>
      <w:r>
        <w:rPr>
          <w:rFonts w:ascii="Times New Roman" w:eastAsia="方正仿宋_GBK" w:cs="方正仿宋_GBK" w:hAnsi="Times New Roman"/>
          <w:sz w:val="32"/>
          <w:szCs w:val="32"/>
          <w:shd w:val="clear" w:color="auto" w:fill="FFFFFF"/>
        </w:rPr>
        <w:t>，</w:t>
      </w:r>
      <w:r>
        <w:rPr>
          <w:rFonts w:ascii="方正仿宋_GBK" w:eastAsia="方正仿宋_GBK" w:cs="方正仿宋_GBK"/>
          <w:sz w:val="32"/>
          <w:szCs w:val="32"/>
          <w:shd w:val="clear" w:color="auto" w:fill="FFFFFF"/>
        </w:rPr>
        <w:t>增长55</w:t>
      </w:r>
      <w:r>
        <w:rPr>
          <w:rFonts w:ascii="方正仿宋_GBK" w:eastAsia="方正仿宋_GBK" w:cs="方正仿宋_GBK" w:hint="eastAsia"/>
          <w:sz w:val="32"/>
          <w:szCs w:val="32"/>
          <w:shd w:val="clear" w:color="auto" w:fill="FFFFFF"/>
          <w:lang w:val="en-US" w:eastAsia="zh-CN"/>
        </w:rPr>
        <w:t>5.98</w:t>
      </w:r>
      <w:r>
        <w:rPr>
          <w:rFonts w:ascii="方正仿宋_GBK" w:eastAsia="方正仿宋_GBK" w:cs="方正仿宋_GBK"/>
          <w:sz w:val="32"/>
          <w:szCs w:val="32"/>
          <w:shd w:val="clear" w:color="auto" w:fill="FFFFFF"/>
        </w:rPr>
        <w:t>%，</w:t>
      </w:r>
      <w:r>
        <w:rPr>
          <w:rFonts w:ascii="Times New Roman" w:eastAsia="方正仿宋_GBK" w:cs="方正仿宋_GBK" w:hAnsi="Times New Roman"/>
          <w:sz w:val="32"/>
          <w:szCs w:val="32"/>
          <w:shd w:val="clear" w:color="auto" w:fill="FFFFFF"/>
        </w:rPr>
        <w:t>主要原因是</w:t>
      </w:r>
      <w:r>
        <w:rPr>
          <w:rFonts w:ascii="Times New Roman" w:eastAsia="方正仿宋_GBK" w:cs="方正仿宋_GBK" w:hAnsi="Times New Roman" w:hint="eastAsia"/>
          <w:color w:val="auto"/>
          <w:sz w:val="32"/>
          <w:szCs w:val="32"/>
          <w:shd w:val="clear" w:color="auto" w:fill="FFFFFF"/>
        </w:rPr>
        <w:t>国家重大水利工程建设基金（三峡后续工作三峡水库清漂能力提升）项目拨款327.99万元</w:t>
      </w:r>
      <w:r>
        <w:rPr>
          <w:rFonts w:ascii="Times New Roman" w:eastAsia="方正仿宋_GBK" w:cs="方正仿宋_GBK" w:hAnsi="Times New Roman" w:hint="eastAsia"/>
          <w:color w:val="auto"/>
          <w:sz w:val="32"/>
          <w:szCs w:val="32"/>
          <w:shd w:val="clear" w:color="auto" w:fill="FFFFFF"/>
          <w:lang w:eastAsia="zh-CN"/>
        </w:rPr>
        <w:t>。</w:t>
      </w:r>
      <w:r>
        <w:rPr>
          <w:rFonts w:ascii="Times New Roman" w:eastAsia="方正仿宋_GBK" w:cs="方正仿宋_GBK" w:hAnsi="Times New Roman"/>
          <w:sz w:val="32"/>
          <w:szCs w:val="32"/>
          <w:shd w:val="clear" w:color="auto" w:fill="FFFFFF"/>
        </w:rPr>
        <w:t>本年支出</w:t>
      </w:r>
      <w:r>
        <w:rPr>
          <w:rFonts w:eastAsia="方正仿宋_GBK" w:cs="方正仿宋_GBK" w:hint="eastAsia"/>
          <w:sz w:val="32"/>
          <w:szCs w:val="32"/>
          <w:lang w:val="en-US" w:eastAsia="zh-CN"/>
        </w:rPr>
        <w:t>372.99</w:t>
      </w:r>
      <w:r>
        <w:rPr>
          <w:rFonts w:ascii="Times New Roman" w:eastAsia="方正仿宋_GBK" w:cs="方正仿宋_GBK" w:hAnsi="Times New Roman"/>
          <w:sz w:val="32"/>
          <w:szCs w:val="32"/>
          <w:shd w:val="clear" w:color="auto" w:fill="FFFFFF"/>
        </w:rPr>
        <w:t>万元，与2023年度相比</w:t>
      </w:r>
      <w:r>
        <w:rPr>
          <w:rFonts w:ascii="方正仿宋_GBK" w:eastAsia="方正仿宋_GBK" w:cs="方正仿宋_GBK"/>
          <w:sz w:val="32"/>
          <w:szCs w:val="32"/>
          <w:shd w:val="clear" w:color="auto" w:fill="FFFFFF"/>
        </w:rPr>
        <w:t>增加277.99</w:t>
      </w:r>
      <w:r>
        <w:rPr>
          <w:rFonts w:eastAsia="方正仿宋_GBK" w:cs="方正仿宋_GBK" w:hint="eastAsia"/>
          <w:sz w:val="32"/>
          <w:szCs w:val="32"/>
          <w:shd w:val="clear" w:color="auto" w:fill="FFFFFF"/>
          <w:lang w:val="en-US" w:eastAsia="zh-CN"/>
        </w:rPr>
        <w:t>万元</w:t>
      </w:r>
      <w:r>
        <w:rPr>
          <w:rFonts w:ascii="Times New Roman" w:eastAsia="方正仿宋_GBK" w:cs="方正仿宋_GBK" w:hAnsi="Times New Roman"/>
          <w:sz w:val="32"/>
          <w:szCs w:val="32"/>
          <w:shd w:val="clear" w:color="auto" w:fill="FFFFFF"/>
        </w:rPr>
        <w:t>，</w:t>
      </w:r>
      <w:r>
        <w:rPr>
          <w:rFonts w:ascii="方正仿宋_GBK" w:eastAsia="方正仿宋_GBK" w:cs="方正仿宋_GBK"/>
          <w:sz w:val="32"/>
          <w:szCs w:val="32"/>
          <w:shd w:val="clear" w:color="auto" w:fill="FFFFFF"/>
        </w:rPr>
        <w:t>增长55</w:t>
      </w:r>
      <w:r>
        <w:rPr>
          <w:rFonts w:ascii="方正仿宋_GBK" w:eastAsia="方正仿宋_GBK" w:cs="方正仿宋_GBK" w:hint="eastAsia"/>
          <w:sz w:val="32"/>
          <w:szCs w:val="32"/>
          <w:shd w:val="clear" w:color="auto" w:fill="FFFFFF"/>
          <w:lang w:val="en-US" w:eastAsia="zh-CN"/>
        </w:rPr>
        <w:t>5.98</w:t>
      </w:r>
      <w:r>
        <w:rPr>
          <w:rFonts w:ascii="方正仿宋_GBK" w:eastAsia="方正仿宋_GBK" w:cs="方正仿宋_GBK"/>
          <w:sz w:val="32"/>
          <w:szCs w:val="32"/>
          <w:shd w:val="clear" w:color="auto" w:fill="FFFFFF"/>
        </w:rPr>
        <w:t>%，</w:t>
      </w:r>
      <w:r>
        <w:rPr>
          <w:rFonts w:ascii="Times New Roman" w:eastAsia="方正仿宋_GBK" w:cs="方正仿宋_GBK" w:hAnsi="Times New Roman"/>
          <w:sz w:val="32"/>
          <w:szCs w:val="32"/>
          <w:shd w:val="clear" w:color="auto" w:fill="FFFFFF"/>
        </w:rPr>
        <w:t>主要原因是</w:t>
      </w:r>
      <w:r>
        <w:rPr>
          <w:rFonts w:ascii="Times New Roman" w:eastAsia="方正仿宋_GBK" w:cs="方正仿宋_GBK" w:hAnsi="Times New Roman" w:hint="eastAsia"/>
          <w:color w:val="auto"/>
          <w:sz w:val="32"/>
          <w:szCs w:val="32"/>
          <w:shd w:val="clear" w:color="auto" w:fill="FFFFFF"/>
        </w:rPr>
        <w:t>国家重大水利工程建设基金（三峡后续工作三峡水库清漂能力提升）项目</w:t>
      </w:r>
      <w:r>
        <w:rPr>
          <w:rFonts w:eastAsia="方正仿宋_GBK" w:cs="方正仿宋_GBK" w:hint="eastAsia"/>
          <w:color w:val="auto"/>
          <w:sz w:val="32"/>
          <w:szCs w:val="32"/>
          <w:shd w:val="clear" w:color="auto" w:fill="FFFFFF"/>
          <w:lang w:val="en-US" w:eastAsia="zh-CN"/>
        </w:rPr>
        <w:t>支出327.99万元</w:t>
      </w:r>
      <w:r>
        <w:rPr>
          <w:rFonts w:ascii="Times New Roman" w:eastAsia="方正仿宋_GBK" w:cs="方正仿宋_GBK" w:hAnsi="Times New Roman"/>
          <w:color w:val="auto"/>
          <w:sz w:val="32"/>
          <w:szCs w:val="32"/>
          <w:shd w:val="clear" w:color="auto" w:fill="FFFFFF"/>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（六）国有资本经营预算财政拨款支出决算情况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color w:val="auto"/>
          <w:sz w:val="32"/>
          <w:szCs w:val="32"/>
          <w:shd w:val="clear" w:color="auto" w:fill="FFFFFF"/>
        </w:rPr>
        <w:t>本单位</w:t>
      </w:r>
      <w:r>
        <w:rPr>
          <w:rFonts w:ascii="Times New Roman" w:eastAsia="方正仿宋_GBK" w:cs="方正仿宋_GBK" w:hAnsi="Times New Roman" w:hint="eastAsia"/>
          <w:color w:val="auto"/>
          <w:sz w:val="32"/>
          <w:szCs w:val="32"/>
          <w:shd w:val="clear" w:color="auto" w:fill="FFFFFF"/>
          <w:lang w:eastAsia="zh-CN"/>
        </w:rPr>
        <w:t>2024年</w:t>
      </w:r>
      <w:r>
        <w:rPr>
          <w:rFonts w:ascii="Times New Roman" w:eastAsia="方正仿宋_GBK" w:cs="方正仿宋_GBK" w:hAnsi="Times New Roman"/>
          <w:color w:val="auto"/>
          <w:sz w:val="32"/>
          <w:szCs w:val="32"/>
          <w:shd w:val="clear" w:color="auto" w:fill="FFFFFF"/>
        </w:rPr>
        <w:t>度无国有资本经营预算财政拨款支出。</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Times New Roman" w:eastAsia="方正黑体_GBK" w:cs="方正黑体_GBK" w:hAnsi="Times New Roman" w:hint="eastAsia"/>
          <w:b w:val="0"/>
          <w:sz w:val="32"/>
          <w:szCs w:val="32"/>
          <w:shd w:val="clear" w:color="auto" w:fill="FFFFFF"/>
        </w:rPr>
      </w:pPr>
      <w:r>
        <w:rPr>
          <w:rStyle w:val="22"/>
          <w:rFonts w:ascii="Times New Roman" w:eastAsia="方正黑体_GBK" w:cs="方正黑体_GBK" w:hAnsi="Times New Roman" w:hint="eastAsia"/>
          <w:b w:val="0"/>
          <w:sz w:val="32"/>
          <w:szCs w:val="32"/>
          <w:shd w:val="clear" w:color="auto" w:fill="FFFFFF"/>
          <w:lang w:val="en-US" w:eastAsia="zh-CN"/>
        </w:rPr>
        <w:t>三、</w:t>
      </w:r>
      <w:r>
        <w:rPr>
          <w:rStyle w:val="22"/>
          <w:rFonts w:ascii="Times New Roman" w:eastAsia="方正黑体_GBK" w:cs="方正黑体_GBK" w:hAnsi="Times New Roman" w:hint="eastAsia"/>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（一）三公经费支出总体情况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2024年度三公经费支出共计</w:t>
      </w:r>
      <w:r>
        <w:rPr>
          <w:rFonts w:ascii="方正仿宋_GBK" w:eastAsia="方正仿宋_GBK" w:cs="方正仿宋_GBK"/>
          <w:sz w:val="32"/>
          <w:szCs w:val="32"/>
        </w:rPr>
        <w:t>34.69</w:t>
      </w:r>
      <w:r>
        <w:rPr>
          <w:rFonts w:ascii="Times New Roman" w:eastAsia="方正仿宋_GBK" w:cs="方正仿宋_GBK" w:hAnsi="Times New Roman" w:hint="eastAsia"/>
          <w:color w:val="auto"/>
          <w:sz w:val="32"/>
          <w:lang w:val="en-US" w:eastAsia="zh-CN"/>
        </w:rPr>
        <w:t>万元，较年初预算数减少</w:t>
      </w:r>
      <w:r>
        <w:rPr>
          <w:rFonts w:ascii="方正仿宋_GBK" w:eastAsia="方正仿宋_GBK" w:cs="方正仿宋_GBK"/>
          <w:sz w:val="32"/>
          <w:szCs w:val="32"/>
          <w:shd w:val="clear" w:color="auto" w:fill="FFFFFF"/>
        </w:rPr>
        <w:t>10.45</w:t>
      </w:r>
      <w:r>
        <w:rPr>
          <w:rFonts w:ascii="Times New Roman" w:eastAsia="方正仿宋_GBK" w:cs="方正仿宋_GBK" w:hAnsi="Times New Roman" w:hint="eastAsia"/>
          <w:color w:val="auto"/>
          <w:sz w:val="32"/>
          <w:lang w:val="en-US" w:eastAsia="zh-CN"/>
        </w:rPr>
        <w:t>万元，下降</w:t>
      </w:r>
      <w:r>
        <w:rPr>
          <w:rFonts w:eastAsia="方正仿宋_GBK" w:cs="方正仿宋_GBK" w:hint="eastAsia"/>
          <w:color w:val="auto"/>
          <w:sz w:val="32"/>
          <w:lang w:val="en-US" w:eastAsia="zh-CN"/>
        </w:rPr>
        <w:t>23.15</w:t>
      </w:r>
      <w:r>
        <w:rPr>
          <w:rFonts w:ascii="Times New Roman" w:eastAsia="方正仿宋_GBK" w:cs="方正仿宋_GBK" w:hAnsi="Times New Roman" w:hint="eastAsia"/>
          <w:color w:val="auto"/>
          <w:sz w:val="32"/>
          <w:lang w:val="en-US" w:eastAsia="zh-CN"/>
        </w:rPr>
        <w:t>%，主要原因是落实区委区政府党政机关过紧日子苦日子要求，严控三公经费支出。较上年支出数减少</w:t>
      </w:r>
      <w:r>
        <w:rPr>
          <w:rFonts w:ascii="方正仿宋_GBK" w:eastAsia="方正仿宋_GBK" w:cs="方正仿宋_GBK"/>
          <w:sz w:val="32"/>
          <w:szCs w:val="32"/>
          <w:shd w:val="clear" w:color="auto" w:fill="FFFFFF"/>
        </w:rPr>
        <w:t>0.18</w:t>
      </w:r>
      <w:r>
        <w:rPr>
          <w:rFonts w:ascii="Times New Roman" w:eastAsia="方正仿宋_GBK" w:cs="方正仿宋_GBK" w:hAnsi="Times New Roman" w:hint="eastAsia"/>
          <w:color w:val="auto"/>
          <w:sz w:val="32"/>
          <w:lang w:val="en-US" w:eastAsia="zh-CN"/>
        </w:rPr>
        <w:t>万元，减少</w:t>
      </w:r>
      <w:r>
        <w:rPr>
          <w:rFonts w:eastAsia="方正仿宋_GBK" w:cs="方正仿宋_GBK" w:hint="eastAsia"/>
          <w:color w:val="auto"/>
          <w:sz w:val="32"/>
          <w:lang w:val="en-US" w:eastAsia="zh-CN"/>
        </w:rPr>
        <w:t>0.52</w:t>
      </w:r>
      <w:r>
        <w:rPr>
          <w:rFonts w:ascii="Times New Roman" w:eastAsia="方正仿宋_GBK" w:cs="方正仿宋_GBK" w:hAnsi="Times New Roman" w:hint="eastAsia"/>
          <w:color w:val="auto"/>
          <w:sz w:val="32"/>
          <w:lang w:val="en-US" w:eastAsia="zh-CN"/>
        </w:rPr>
        <w:t>%，主要原因是落实区委区政府党政机关过紧日子苦日子要求，严控三公经费支出。</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（二）三公经费分项支出情况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因公出国（境）费用</w:t>
      </w:r>
      <w:r>
        <w:rPr>
          <w:rFonts w:ascii="方正仿宋_GBK" w:eastAsia="方正仿宋_GBK" w:cs="方正仿宋_GBK"/>
          <w:sz w:val="32"/>
          <w:szCs w:val="32"/>
        </w:rPr>
        <w:t>0.00</w:t>
      </w:r>
      <w:r>
        <w:rPr>
          <w:rFonts w:ascii="Times New Roman" w:eastAsia="方正仿宋_GBK" w:cs="方正仿宋_GBK" w:hAnsi="Times New Roman" w:hint="eastAsia"/>
          <w:color w:val="auto"/>
          <w:sz w:val="32"/>
          <w:lang w:val="en-US" w:eastAsia="zh-CN"/>
        </w:rPr>
        <w:t>万元，费用支出较年初预算数</w:t>
      </w:r>
      <w:r>
        <w:rPr>
          <w:rFonts w:eastAsia="方正仿宋_GBK" w:cs="方正仿宋_GBK" w:hint="eastAsia"/>
          <w:color w:val="auto"/>
          <w:sz w:val="32"/>
          <w:lang w:val="en-US" w:eastAsia="zh-CN"/>
        </w:rPr>
        <w:t>无增减</w:t>
      </w:r>
      <w:r>
        <w:rPr>
          <w:rFonts w:ascii="Times New Roman" w:eastAsia="方正仿宋_GBK" w:cs="方正仿宋_GBK" w:hAnsi="Times New Roman" w:hint="eastAsia"/>
          <w:color w:val="auto"/>
          <w:sz w:val="32"/>
          <w:lang w:val="en-US" w:eastAsia="zh-CN"/>
        </w:rPr>
        <w:t>。较上年支出数</w:t>
      </w:r>
      <w:r>
        <w:rPr>
          <w:rFonts w:eastAsia="方正仿宋_GBK" w:cs="方正仿宋_GBK" w:hint="eastAsia"/>
          <w:color w:val="auto"/>
          <w:sz w:val="32"/>
          <w:lang w:val="en-US" w:eastAsia="zh-CN"/>
        </w:rPr>
        <w:t>无增减</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公务车购置费用</w:t>
      </w:r>
      <w:r>
        <w:rPr>
          <w:rFonts w:ascii="方正仿宋_GBK" w:eastAsia="方正仿宋_GBK" w:cs="方正仿宋_GBK"/>
          <w:sz w:val="32"/>
          <w:szCs w:val="32"/>
        </w:rPr>
        <w:t>0.00</w:t>
      </w:r>
      <w:r>
        <w:rPr>
          <w:rFonts w:ascii="Times New Roman" w:eastAsia="方正仿宋_GBK" w:cs="方正仿宋_GBK" w:hAnsi="Times New Roman" w:hint="eastAsia"/>
          <w:color w:val="auto"/>
          <w:sz w:val="32"/>
          <w:lang w:val="en-US" w:eastAsia="zh-CN"/>
        </w:rPr>
        <w:t>万元，费用支出较年初预算数</w:t>
      </w:r>
      <w:r>
        <w:rPr>
          <w:rFonts w:eastAsia="方正仿宋_GBK" w:cs="方正仿宋_GBK" w:hint="eastAsia"/>
          <w:color w:val="auto"/>
          <w:sz w:val="32"/>
          <w:lang w:val="en-US" w:eastAsia="zh-CN"/>
        </w:rPr>
        <w:t>无增减</w:t>
      </w:r>
      <w:r>
        <w:rPr>
          <w:rFonts w:ascii="Times New Roman" w:eastAsia="方正仿宋_GBK" w:cs="方正仿宋_GBK" w:hAnsi="Times New Roman" w:hint="eastAsia"/>
          <w:color w:val="auto"/>
          <w:sz w:val="32"/>
          <w:lang w:val="en-US" w:eastAsia="zh-CN"/>
        </w:rPr>
        <w:t>，较上年支出数</w:t>
      </w:r>
      <w:r>
        <w:rPr>
          <w:rFonts w:eastAsia="方正仿宋_GBK" w:cs="方正仿宋_GBK" w:hint="eastAsia"/>
          <w:color w:val="auto"/>
          <w:sz w:val="32"/>
          <w:lang w:val="en-US" w:eastAsia="zh-CN"/>
        </w:rPr>
        <w:t>无增减</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公务车运行维护费</w:t>
      </w:r>
      <w:r>
        <w:rPr>
          <w:rFonts w:ascii="方正仿宋_GBK" w:eastAsia="方正仿宋_GBK" w:cs="方正仿宋_GBK"/>
          <w:sz w:val="32"/>
          <w:szCs w:val="32"/>
        </w:rPr>
        <w:t>33.67</w:t>
      </w:r>
      <w:r>
        <w:rPr>
          <w:rFonts w:ascii="Times New Roman" w:eastAsia="方正仿宋_GBK" w:cs="方正仿宋_GBK" w:hAnsi="Times New Roman" w:hint="eastAsia"/>
          <w:color w:val="auto"/>
          <w:sz w:val="32"/>
          <w:lang w:val="en-US" w:eastAsia="zh-CN"/>
        </w:rPr>
        <w:t>万元，主要用于</w:t>
      </w:r>
      <w:r>
        <w:rPr>
          <w:rFonts w:eastAsia="方正仿宋_GBK" w:cs="方正仿宋_GBK" w:hint="eastAsia"/>
          <w:color w:val="auto"/>
          <w:sz w:val="32"/>
          <w:lang w:val="en-US" w:eastAsia="zh-CN"/>
        </w:rPr>
        <w:t>局机关及下属单位14</w:t>
      </w:r>
      <w:r>
        <w:rPr>
          <w:rFonts w:ascii="Times New Roman" w:eastAsia="方正仿宋_GBK" w:cs="方正仿宋_GBK" w:hAnsi="Times New Roman" w:hint="eastAsia"/>
          <w:color w:val="auto"/>
          <w:sz w:val="32"/>
          <w:lang w:val="en-US" w:eastAsia="zh-CN"/>
        </w:rPr>
        <w:t>辆公务用车燃油、维修保养、保险、路桥、安全奖励等方面支出。费用支出较年初预算数</w:t>
      </w:r>
      <w:r>
        <w:rPr>
          <w:rFonts w:ascii="方正仿宋_GBK" w:eastAsia="方正仿宋_GBK" w:cs="方正仿宋_GBK"/>
          <w:sz w:val="32"/>
          <w:szCs w:val="32"/>
          <w:shd w:val="clear" w:color="auto" w:fill="FFFFFF"/>
        </w:rPr>
        <w:t>减少7.04</w:t>
      </w:r>
      <w:r>
        <w:rPr>
          <w:rFonts w:ascii="Times New Roman" w:eastAsia="方正仿宋_GBK" w:cs="方正仿宋_GBK" w:hAnsi="Times New Roman" w:hint="eastAsia"/>
          <w:color w:val="auto"/>
          <w:sz w:val="32"/>
          <w:lang w:val="en-US" w:eastAsia="zh-CN"/>
        </w:rPr>
        <w:t>万元，</w:t>
      </w:r>
      <w:r>
        <w:rPr>
          <w:rFonts w:ascii="方正仿宋_GBK" w:eastAsia="方正仿宋_GBK" w:cs="方正仿宋_GBK"/>
          <w:sz w:val="32"/>
          <w:szCs w:val="32"/>
          <w:shd w:val="clear" w:color="auto" w:fill="FFFFFF"/>
        </w:rPr>
        <w:t>下降17.</w:t>
      </w:r>
      <w:r>
        <w:rPr>
          <w:rFonts w:ascii="方正仿宋_GBK" w:eastAsia="方正仿宋_GBK" w:cs="方正仿宋_GBK" w:hint="eastAsia"/>
          <w:sz w:val="32"/>
          <w:szCs w:val="32"/>
          <w:shd w:val="clear" w:color="auto" w:fill="FFFFFF"/>
          <w:lang w:val="en-US" w:eastAsia="zh-CN"/>
        </w:rPr>
        <w:t>29</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color w:val="auto"/>
          <w:sz w:val="32"/>
          <w:lang w:val="en-US" w:eastAsia="zh-CN"/>
        </w:rPr>
        <w:t>较上年支出数增加</w:t>
      </w:r>
      <w:r>
        <w:rPr>
          <w:rFonts w:eastAsia="方正仿宋_GBK" w:cs="方正仿宋_GBK" w:hint="eastAsia"/>
          <w:color w:val="auto"/>
          <w:sz w:val="32"/>
          <w:lang w:val="en-US" w:eastAsia="zh-CN"/>
        </w:rPr>
        <w:t>0.20</w:t>
      </w:r>
      <w:r>
        <w:rPr>
          <w:rFonts w:ascii="Times New Roman" w:eastAsia="方正仿宋_GBK" w:cs="方正仿宋_GBK" w:hAnsi="Times New Roman" w:hint="eastAsia"/>
          <w:color w:val="auto"/>
          <w:sz w:val="32"/>
          <w:lang w:val="en-US" w:eastAsia="zh-CN"/>
        </w:rPr>
        <w:t>万元，增长</w:t>
      </w:r>
      <w:r>
        <w:rPr>
          <w:rFonts w:eastAsia="方正仿宋_GBK" w:cs="方正仿宋_GBK" w:hint="eastAsia"/>
          <w:color w:val="auto"/>
          <w:sz w:val="32"/>
          <w:lang w:val="en-US" w:eastAsia="zh-CN"/>
        </w:rPr>
        <w:t>0.6</w:t>
      </w:r>
      <w:r>
        <w:rPr>
          <w:rFonts w:ascii="方正仿宋_GBK" w:eastAsia="方正仿宋_GBK" w:cs="方正仿宋_GBK" w:hint="eastAsia"/>
          <w:sz w:val="32"/>
          <w:szCs w:val="32"/>
          <w:shd w:val="clear" w:color="auto" w:fill="FFFFFF"/>
          <w:lang w:val="en-US" w:eastAsia="zh-CN"/>
        </w:rPr>
        <w:t>%</w:t>
      </w:r>
      <w:r>
        <w:rPr>
          <w:rFonts w:ascii="Times New Roman" w:eastAsia="方正仿宋_GBK" w:cs="方正仿宋_GBK" w:hAnsi="Times New Roman" w:hint="eastAsia"/>
          <w:color w:val="auto"/>
          <w:sz w:val="32"/>
          <w:lang w:val="en-US" w:eastAsia="zh-CN"/>
        </w:rPr>
        <w:t>，主要原因是因创文迎检等工作公务用车使用频次增加，公务用车燃油、维修费等成本增加。</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公务接待费</w:t>
      </w:r>
      <w:r>
        <w:rPr>
          <w:rFonts w:eastAsia="方正仿宋_GBK" w:cs="方正仿宋_GBK" w:hint="eastAsia"/>
          <w:color w:val="auto"/>
          <w:sz w:val="32"/>
          <w:lang w:val="en-US" w:eastAsia="zh-CN"/>
        </w:rPr>
        <w:t>1.01</w:t>
      </w:r>
      <w:r>
        <w:rPr>
          <w:rFonts w:ascii="Times New Roman" w:eastAsia="方正仿宋_GBK" w:cs="方正仿宋_GBK" w:hAnsi="Times New Roman" w:hint="eastAsia"/>
          <w:color w:val="auto"/>
          <w:sz w:val="32"/>
          <w:lang w:val="en-US" w:eastAsia="zh-CN"/>
        </w:rPr>
        <w:t>万元，主要用于川渝合作、其他区县城市管理部门来津考察、交流等接待</w:t>
      </w:r>
      <w:r>
        <w:rPr>
          <w:rFonts w:eastAsia="方正仿宋_GBK" w:cs="方正仿宋_GBK" w:hint="eastAsia"/>
          <w:color w:val="auto"/>
          <w:sz w:val="32"/>
          <w:lang w:val="en-US" w:eastAsia="zh-CN"/>
        </w:rPr>
        <w:t>等</w:t>
      </w:r>
      <w:r>
        <w:rPr>
          <w:rFonts w:ascii="Times New Roman" w:eastAsia="方正仿宋_GBK" w:cs="方正仿宋_GBK" w:hAnsi="Times New Roman" w:hint="eastAsia"/>
          <w:color w:val="auto"/>
          <w:sz w:val="32"/>
          <w:lang w:val="en-US" w:eastAsia="zh-CN"/>
        </w:rPr>
        <w:t>。费用支出较年初预算数</w:t>
      </w:r>
      <w:r>
        <w:rPr>
          <w:rFonts w:eastAsia="方正仿宋_GBK" w:cs="方正仿宋_GBK" w:hint="eastAsia"/>
          <w:color w:val="auto"/>
          <w:sz w:val="32"/>
          <w:lang w:val="en-US" w:eastAsia="zh-CN"/>
        </w:rPr>
        <w:t>减少</w:t>
      </w:r>
      <w:r>
        <w:rPr>
          <w:rFonts w:ascii="方正仿宋_GBK" w:eastAsia="方正仿宋_GBK" w:cs="方正仿宋_GBK"/>
          <w:sz w:val="32"/>
          <w:szCs w:val="32"/>
          <w:shd w:val="clear" w:color="auto" w:fill="FFFFFF"/>
        </w:rPr>
        <w:t>3.42</w:t>
      </w:r>
      <w:r>
        <w:rPr>
          <w:rFonts w:ascii="Times New Roman" w:eastAsia="方正仿宋_GBK" w:cs="方正仿宋_GBK" w:hAnsi="Times New Roman" w:hint="eastAsia"/>
          <w:color w:val="auto"/>
          <w:sz w:val="32"/>
          <w:lang w:val="en-US" w:eastAsia="zh-CN"/>
        </w:rPr>
        <w:t>万元，</w:t>
      </w:r>
      <w:r>
        <w:rPr>
          <w:rFonts w:ascii="方正仿宋_GBK" w:eastAsia="方正仿宋_GBK" w:cs="方正仿宋_GBK"/>
          <w:sz w:val="32"/>
          <w:szCs w:val="32"/>
          <w:shd w:val="clear" w:color="auto" w:fill="FFFFFF"/>
        </w:rPr>
        <w:t>下降77.2</w:t>
      </w:r>
      <w:r>
        <w:rPr>
          <w:rFonts w:ascii="方正仿宋_GBK" w:eastAsia="方正仿宋_GBK" w:cs="方正仿宋_GBK" w:hint="eastAsia"/>
          <w:sz w:val="32"/>
          <w:szCs w:val="32"/>
          <w:shd w:val="clear" w:color="auto" w:fill="FFFFFF"/>
          <w:lang w:val="en-US" w:eastAsia="zh-CN"/>
        </w:rPr>
        <w:t>0</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color w:val="auto"/>
          <w:sz w:val="32"/>
          <w:lang w:val="en-US" w:eastAsia="zh-CN"/>
        </w:rPr>
        <w:t>较上年支出数</w:t>
      </w:r>
      <w:r>
        <w:rPr>
          <w:rFonts w:eastAsia="方正仿宋_GBK" w:cs="方正仿宋_GBK" w:hint="eastAsia"/>
          <w:color w:val="auto"/>
          <w:sz w:val="32"/>
          <w:lang w:val="en-US" w:eastAsia="zh-CN"/>
        </w:rPr>
        <w:t>减少0.39</w:t>
      </w:r>
      <w:r>
        <w:rPr>
          <w:rFonts w:ascii="Times New Roman" w:eastAsia="方正仿宋_GBK" w:cs="方正仿宋_GBK" w:hAnsi="Times New Roman" w:hint="eastAsia"/>
          <w:color w:val="auto"/>
          <w:sz w:val="32"/>
          <w:lang w:val="en-US" w:eastAsia="zh-CN"/>
        </w:rPr>
        <w:t>万元，</w:t>
      </w:r>
      <w:r>
        <w:rPr>
          <w:rFonts w:eastAsia="方正仿宋_GBK" w:cs="方正仿宋_GBK" w:hint="eastAsia"/>
          <w:color w:val="auto"/>
          <w:sz w:val="32"/>
          <w:lang w:val="en-US" w:eastAsia="zh-CN"/>
        </w:rPr>
        <w:t>下降27.75%</w:t>
      </w:r>
      <w:r>
        <w:rPr>
          <w:rFonts w:ascii="Times New Roman" w:eastAsia="方正仿宋_GBK" w:cs="方正仿宋_GBK" w:hAnsi="Times New Roman" w:hint="eastAsia"/>
          <w:color w:val="auto"/>
          <w:sz w:val="32"/>
          <w:lang w:val="en-US" w:eastAsia="zh-CN"/>
        </w:rPr>
        <w:t>，主要原因是落实区委区政府党政机关过紧日子苦日子要求，严控三公经费支出。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Fonts w:ascii="Times New Roman" w:eastAsia="方正楷体_GBK" w:cs="方正楷体_GBK" w:hAnsi="Times New Roman" w:hint="eastAsi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（三）“三公”经费实物量情况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2024年度本部门因公出国（境）共计</w:t>
      </w:r>
      <w:r>
        <w:rPr>
          <w:rFonts w:ascii="方正仿宋_GBK" w:eastAsia="方正仿宋_GBK" w:cs="方正仿宋_GBK"/>
          <w:sz w:val="32"/>
          <w:szCs w:val="32"/>
        </w:rPr>
        <w:t>0</w:t>
      </w:r>
      <w:r>
        <w:rPr>
          <w:rFonts w:ascii="Times New Roman" w:eastAsia="方正仿宋_GBK" w:cs="方正仿宋_GBK" w:hAnsi="Times New Roman" w:hint="eastAsia"/>
          <w:color w:val="auto"/>
          <w:sz w:val="32"/>
          <w:lang w:val="en-US" w:eastAsia="zh-CN"/>
        </w:rPr>
        <w:t>个团组，</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人；公务用车购置</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辆，公务车保有量为</w:t>
      </w:r>
      <w:r>
        <w:rPr>
          <w:rFonts w:eastAsia="方正仿宋_GBK" w:cs="方正仿宋_GBK" w:hint="eastAsia"/>
          <w:color w:val="auto"/>
          <w:sz w:val="32"/>
          <w:lang w:val="en-US" w:eastAsia="zh-CN"/>
        </w:rPr>
        <w:t>14</w:t>
      </w:r>
      <w:r>
        <w:rPr>
          <w:rFonts w:ascii="Times New Roman" w:eastAsia="方正仿宋_GBK" w:cs="方正仿宋_GBK" w:hAnsi="Times New Roman" w:hint="eastAsia"/>
          <w:color w:val="auto"/>
          <w:sz w:val="32"/>
          <w:lang w:val="en-US" w:eastAsia="zh-CN"/>
        </w:rPr>
        <w:t>辆；国内公务接待</w:t>
      </w:r>
      <w:r>
        <w:rPr>
          <w:rFonts w:eastAsia="方正仿宋_GBK" w:cs="方正仿宋_GBK" w:hint="eastAsia"/>
          <w:color w:val="auto"/>
          <w:sz w:val="32"/>
          <w:lang w:val="en-US" w:eastAsia="zh-CN"/>
        </w:rPr>
        <w:t>9</w:t>
      </w:r>
      <w:r>
        <w:rPr>
          <w:rFonts w:ascii="Times New Roman" w:eastAsia="方正仿宋_GBK" w:cs="方正仿宋_GBK" w:hAnsi="Times New Roman" w:hint="eastAsia"/>
          <w:color w:val="auto"/>
          <w:sz w:val="32"/>
          <w:lang w:val="en-US" w:eastAsia="zh-CN"/>
        </w:rPr>
        <w:t>批次</w:t>
      </w:r>
      <w:r>
        <w:rPr>
          <w:rFonts w:eastAsia="方正仿宋_GBK" w:cs="方正仿宋_GBK" w:hint="eastAsia"/>
          <w:color w:val="auto"/>
          <w:sz w:val="32"/>
          <w:lang w:val="en-US" w:eastAsia="zh-CN"/>
        </w:rPr>
        <w:t>110</w:t>
      </w:r>
      <w:r>
        <w:rPr>
          <w:rFonts w:ascii="Times New Roman" w:eastAsia="方正仿宋_GBK" w:cs="方正仿宋_GBK" w:hAnsi="Times New Roman" w:hint="eastAsia"/>
          <w:color w:val="auto"/>
          <w:sz w:val="32"/>
          <w:lang w:val="en-US" w:eastAsia="zh-CN"/>
        </w:rPr>
        <w:t>人，其中：国内外事接待</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批次，</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人；国（境）外公务接待</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批次，</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人。</w:t>
      </w:r>
      <w:r>
        <w:rPr>
          <w:rFonts w:eastAsia="方正仿宋_GBK" w:cs="方正仿宋_GBK" w:hint="eastAsia"/>
          <w:color w:val="auto"/>
          <w:sz w:val="32"/>
          <w:lang w:val="en-US" w:eastAsia="zh-CN"/>
        </w:rPr>
        <w:t>2024年</w:t>
      </w:r>
      <w:r>
        <w:rPr>
          <w:rFonts w:ascii="Times New Roman" w:eastAsia="方正仿宋_GBK" w:cs="方正仿宋_GBK" w:hAnsi="Times New Roman" w:hint="eastAsia"/>
          <w:color w:val="auto"/>
          <w:sz w:val="32"/>
          <w:lang w:val="en-US" w:eastAsia="zh-CN"/>
        </w:rPr>
        <w:t>人均接待费</w:t>
      </w:r>
      <w:r>
        <w:rPr>
          <w:rFonts w:eastAsia="方正仿宋_GBK" w:cs="方正仿宋_GBK" w:hint="eastAsia"/>
          <w:color w:val="auto"/>
          <w:sz w:val="32"/>
          <w:lang w:val="en-US" w:eastAsia="zh-CN"/>
        </w:rPr>
        <w:t>92.23</w:t>
      </w:r>
      <w:r>
        <w:rPr>
          <w:rFonts w:ascii="Times New Roman" w:eastAsia="方正仿宋_GBK" w:cs="方正仿宋_GBK" w:hAnsi="Times New Roman" w:hint="eastAsia"/>
          <w:color w:val="auto"/>
          <w:sz w:val="32"/>
          <w:lang w:val="en-US" w:eastAsia="zh-CN"/>
        </w:rPr>
        <w:t>元，车均购置费</w:t>
      </w:r>
      <w:r>
        <w:rPr>
          <w:rFonts w:eastAsia="方正仿宋_GBK" w:cs="方正仿宋_GBK" w:hint="eastAsia"/>
          <w:color w:val="auto"/>
          <w:sz w:val="32"/>
          <w:lang w:val="en-US" w:eastAsia="zh-CN"/>
        </w:rPr>
        <w:t>0</w:t>
      </w:r>
      <w:r>
        <w:rPr>
          <w:rFonts w:ascii="Times New Roman" w:eastAsia="方正仿宋_GBK" w:cs="方正仿宋_GBK" w:hAnsi="Times New Roman" w:hint="eastAsia"/>
          <w:color w:val="auto"/>
          <w:sz w:val="32"/>
          <w:lang w:val="en-US" w:eastAsia="zh-CN"/>
        </w:rPr>
        <w:t>万元，车均维护费</w:t>
      </w:r>
      <w:r>
        <w:rPr>
          <w:rFonts w:eastAsia="方正仿宋_GBK" w:cs="方正仿宋_GBK" w:hint="eastAsia"/>
          <w:color w:val="auto"/>
          <w:sz w:val="32"/>
          <w:lang w:val="en-US" w:eastAsia="zh-CN"/>
        </w:rPr>
        <w:t>2.41</w:t>
      </w:r>
      <w:r>
        <w:rPr>
          <w:rFonts w:ascii="Times New Roman" w:eastAsia="方正仿宋_GBK" w:cs="方正仿宋_GBK" w:hAnsi="Times New Roman" w:hint="eastAsia"/>
          <w:color w:val="auto"/>
          <w:sz w:val="32"/>
          <w:lang w:val="en-US" w:eastAsia="zh-CN"/>
        </w:rPr>
        <w:t>万元。</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Times New Roman" w:eastAsia="方正黑体_GBK" w:cs="方正黑体_GBK" w:hAnsi="Times New Roman" w:hint="eastAsia"/>
          <w:b w:val="0"/>
          <w:sz w:val="32"/>
          <w:szCs w:val="32"/>
          <w:shd w:val="clear" w:color="auto" w:fill="FFFFFF"/>
        </w:rPr>
      </w:pPr>
      <w:r>
        <w:rPr>
          <w:rStyle w:val="22"/>
          <w:rFonts w:ascii="Times New Roman" w:eastAsia="方正黑体_GBK" w:cs="方正黑体_GBK" w:hAnsi="Times New Roman" w:hint="eastAsia"/>
          <w:b w:val="0"/>
          <w:sz w:val="32"/>
          <w:szCs w:val="32"/>
          <w:shd w:val="clear" w:color="auto" w:fill="FFFFFF"/>
          <w:lang w:val="en-US" w:eastAsia="zh-CN"/>
        </w:rPr>
        <w:t>四、</w:t>
      </w:r>
      <w:r>
        <w:rPr>
          <w:rStyle w:val="22"/>
          <w:rFonts w:ascii="Times New Roman" w:eastAsia="方正黑体_GBK" w:cs="方正黑体_GBK" w:hAnsi="Times New Roman" w:hint="eastAsia"/>
          <w:b w:val="0"/>
          <w:sz w:val="32"/>
          <w:szCs w:val="32"/>
          <w:shd w:val="clear" w:color="auto" w:fill="FFFFFF"/>
        </w:rPr>
        <w:t>其他需要说明的事项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（一）财政拨款会议费和培训费情况</w:t>
      </w:r>
    </w:p>
    <w:p>
      <w:pPr>
        <w:pStyle w:val="18"/>
        <w:keepNext w:val="0"/>
        <w:keepLines w:val="0"/>
        <w:pageBreakBefore w:val="0"/>
        <w:widowControl w:val="0"/>
        <w:kinsoku/>
        <w:wordWrap/>
        <w:overflowPunct/>
        <w:topLinePunct w:val="0"/>
        <w:autoSpaceDN/>
        <w:bidi w:val="0"/>
        <w:snapToGrid w:val="0"/>
        <w:spacing w:before="0" w:beforeAutospacing="0" w:after="0" w:afterAutospacing="0" w:line="579" w:lineRule="exact"/>
        <w:ind w:firstLineChars="200" w:firstLine="640"/>
        <w:jc w:val="both"/>
        <w:textAlignment w:val="auto"/>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shd w:val="clear" w:color="auto" w:fill="FFFFFF"/>
          <w:lang w:val="en-US" w:eastAsia="zh-CN"/>
        </w:rPr>
        <w:t>2024</w:t>
      </w:r>
      <w:r>
        <w:rPr>
          <w:rFonts w:ascii="Times New Roman" w:eastAsia="方正仿宋_GBK" w:cs="方正仿宋_GBK" w:hAnsi="Times New Roman"/>
          <w:sz w:val="32"/>
          <w:szCs w:val="32"/>
          <w:shd w:val="clear" w:color="auto" w:fill="FFFFFF"/>
        </w:rPr>
        <w:t>年度会议费支出</w:t>
      </w:r>
      <w:r>
        <w:rPr>
          <w:rFonts w:ascii="方正仿宋_GBK" w:eastAsia="方正仿宋_GBK" w:cs="方正仿宋_GBK"/>
          <w:sz w:val="32"/>
          <w:szCs w:val="32"/>
        </w:rPr>
        <w:t>0.84</w:t>
      </w:r>
      <w:r>
        <w:rPr>
          <w:rFonts w:ascii="Times New Roman" w:eastAsia="方正仿宋_GBK" w:cs="方正仿宋_GBK" w:hAnsi="Times New Roman"/>
          <w:sz w:val="32"/>
          <w:szCs w:val="32"/>
          <w:shd w:val="clear" w:color="auto" w:fill="FFFFFF"/>
        </w:rPr>
        <w:t>万元，与2023年度相比，</w:t>
      </w:r>
      <w:r>
        <w:rPr>
          <w:rFonts w:ascii="方正仿宋_GBK" w:eastAsia="方正仿宋_GBK" w:cs="方正仿宋_GBK"/>
          <w:sz w:val="32"/>
          <w:szCs w:val="32"/>
          <w:shd w:val="clear" w:color="auto" w:fill="FFFFFF"/>
        </w:rPr>
        <w:t>增加0.71万元，增长54</w:t>
      </w:r>
      <w:r>
        <w:rPr>
          <w:rFonts w:ascii="方正仿宋_GBK" w:eastAsia="方正仿宋_GBK" w:cs="方正仿宋_GBK" w:hint="eastAsia"/>
          <w:sz w:val="32"/>
          <w:szCs w:val="32"/>
          <w:shd w:val="clear" w:color="auto" w:fill="FFFFFF"/>
          <w:lang w:val="en-US" w:eastAsia="zh-CN"/>
        </w:rPr>
        <w:t>1.25</w:t>
      </w:r>
      <w:r>
        <w:rPr>
          <w:rFonts w:ascii="方正仿宋_GBK" w:eastAsia="方正仿宋_GBK" w:cs="方正仿宋_GBK"/>
          <w:sz w:val="32"/>
          <w:szCs w:val="32"/>
          <w:shd w:val="clear" w:color="auto" w:fill="FFFFFF"/>
        </w:rPr>
        <w:t>%，</w:t>
      </w:r>
      <w:r>
        <w:rPr>
          <w:rFonts w:ascii="Times New Roman" w:eastAsia="方正仿宋_GBK" w:cs="方正仿宋_GBK" w:hAnsi="Times New Roman"/>
          <w:sz w:val="32"/>
          <w:szCs w:val="32"/>
          <w:shd w:val="clear" w:color="auto" w:fill="FFFFFF"/>
        </w:rPr>
        <w:t>下降63.33%，主要原因是</w:t>
      </w:r>
      <w:r>
        <w:rPr>
          <w:rFonts w:ascii="Times New Roman" w:eastAsia="方正仿宋_GBK" w:cs="方正仿宋_GBK" w:hAnsi="Times New Roman" w:hint="eastAsia"/>
          <w:sz w:val="32"/>
          <w:szCs w:val="32"/>
          <w:shd w:val="clear" w:color="auto" w:fill="FFFFFF"/>
        </w:rPr>
        <w:t>大综合一体化执法改革，增加了城市管理执法工作调度会</w:t>
      </w:r>
      <w:r>
        <w:rPr>
          <w:rFonts w:eastAsia="方正仿宋_GBK" w:cs="方正仿宋_GBK" w:hint="eastAsia"/>
          <w:sz w:val="32"/>
          <w:szCs w:val="32"/>
          <w:shd w:val="clear" w:color="auto" w:fill="FFFFFF"/>
          <w:lang w:eastAsia="zh-CN"/>
        </w:rPr>
        <w:t>、</w:t>
      </w:r>
      <w:r>
        <w:rPr>
          <w:rFonts w:ascii="Times New Roman" w:eastAsia="方正仿宋_GBK" w:cs="方正仿宋_GBK" w:hAnsi="Times New Roman" w:hint="eastAsia"/>
          <w:sz w:val="32"/>
          <w:szCs w:val="32"/>
          <w:shd w:val="clear" w:color="auto" w:fill="FFFFFF"/>
        </w:rPr>
        <w:t>行政处罚案卷评查及城市管理执法工作总结会会议频次</w:t>
      </w:r>
      <w:r>
        <w:rPr>
          <w:rFonts w:ascii="Times New Roman" w:eastAsia="方正仿宋_GBK" w:cs="方正仿宋_GBK" w:hAnsi="Times New Roman"/>
          <w:sz w:val="32"/>
          <w:szCs w:val="32"/>
          <w:shd w:val="clear" w:color="auto" w:fill="FFFFFF"/>
        </w:rPr>
        <w:t>。本年度培训费支出</w:t>
      </w:r>
      <w:r>
        <w:rPr>
          <w:rFonts w:ascii="方正仿宋_GBK" w:eastAsia="方正仿宋_GBK" w:cs="方正仿宋_GBK"/>
          <w:sz w:val="32"/>
          <w:szCs w:val="32"/>
        </w:rPr>
        <w:t>4.72</w:t>
      </w:r>
      <w:r>
        <w:rPr>
          <w:rFonts w:ascii="Times New Roman" w:eastAsia="方正仿宋_GBK" w:cs="方正仿宋_GBK" w:hAnsi="Times New Roman"/>
          <w:sz w:val="32"/>
          <w:szCs w:val="32"/>
          <w:shd w:val="clear" w:color="auto" w:fill="FFFFFF"/>
        </w:rPr>
        <w:t>万元，与2023年度相比，</w:t>
      </w:r>
      <w:r>
        <w:rPr>
          <w:rFonts w:ascii="方正仿宋_GBK" w:eastAsia="方正仿宋_GBK" w:cs="方正仿宋_GBK"/>
          <w:sz w:val="32"/>
          <w:szCs w:val="32"/>
          <w:shd w:val="clear" w:color="auto" w:fill="FFFFFF"/>
        </w:rPr>
        <w:t>减少14.00万元，下降74.</w:t>
      </w:r>
      <w:r>
        <w:rPr>
          <w:rFonts w:ascii="方正仿宋_GBK" w:eastAsia="方正仿宋_GBK" w:cs="方正仿宋_GBK" w:hint="eastAsia"/>
          <w:sz w:val="32"/>
          <w:szCs w:val="32"/>
          <w:shd w:val="clear" w:color="auto" w:fill="FFFFFF"/>
          <w:lang w:val="en-US" w:eastAsia="zh-CN"/>
        </w:rPr>
        <w:t>76</w:t>
      </w:r>
      <w:r>
        <w:rPr>
          <w:rFonts w:ascii="方正仿宋_GBK" w:eastAsia="方正仿宋_GBK" w:cs="方正仿宋_GBK"/>
          <w:sz w:val="32"/>
          <w:szCs w:val="32"/>
          <w:shd w:val="clear" w:color="auto" w:fill="FFFFFF"/>
        </w:rPr>
        <w:t>%</w:t>
      </w:r>
      <w:r>
        <w:rPr>
          <w:rFonts w:ascii="Times New Roman" w:eastAsia="方正仿宋_GBK" w:cs="方正仿宋_GBK" w:hAnsi="Times New Roman"/>
          <w:sz w:val="32"/>
          <w:szCs w:val="32"/>
          <w:shd w:val="clear" w:color="auto" w:fill="FFFFFF"/>
        </w:rPr>
        <w:t>，主要原因是</w:t>
      </w:r>
      <w:r>
        <w:rPr>
          <w:rFonts w:ascii="Times New Roman" w:eastAsia="方正仿宋_GBK" w:cs="方正仿宋_GBK" w:hAnsi="Times New Roman" w:hint="eastAsia"/>
          <w:color w:val="auto"/>
          <w:sz w:val="32"/>
          <w:lang w:val="en-US" w:eastAsia="zh-CN"/>
        </w:rPr>
        <w:t>落实区委区政府党政机关过紧日子苦日子要求，减少培训</w:t>
      </w:r>
      <w:r>
        <w:rPr>
          <w:rFonts w:ascii="Times New Roman" w:eastAsia="方正仿宋_GBK" w:cs="方正仿宋_GBK" w:hAnsi="Times New Roman"/>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（二）机关运行经费情况</w:t>
      </w:r>
    </w:p>
    <w:p>
      <w:pPr>
        <w:keepNext w:val="0"/>
        <w:keepLines w:val="0"/>
        <w:pageBreakBefore w:val="0"/>
        <w:widowControl w:val="0"/>
        <w:kinsoku/>
        <w:wordWrap/>
        <w:overflowPunct/>
        <w:topLinePunct w:val="0"/>
        <w:autoSpaceDN/>
        <w:bidi w:val="0"/>
        <w:snapToGrid/>
        <w:spacing w:line="579" w:lineRule="exact"/>
        <w:ind w:firstLineChars="150" w:firstLine="480"/>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年度本</w:t>
      </w:r>
      <w:r>
        <w:rPr>
          <w:rFonts w:ascii="Times New Roman" w:eastAsia="方正仿宋_GBK" w:cs="方正仿宋_GBK" w:hAnsi="Times New Roman" w:hint="eastAsia"/>
          <w:kern w:val="0"/>
          <w:sz w:val="32"/>
          <w:szCs w:val="32"/>
          <w:lang w:val="en-US" w:eastAsia="zh-CN"/>
        </w:rPr>
        <w:t>部门</w:t>
      </w:r>
      <w:r>
        <w:rPr>
          <w:rFonts w:ascii="Times New Roman" w:eastAsia="方正仿宋_GBK" w:cs="方正仿宋_GBK" w:hAnsi="Times New Roman" w:hint="eastAsia"/>
          <w:kern w:val="0"/>
          <w:sz w:val="32"/>
          <w:szCs w:val="32"/>
        </w:rPr>
        <w:t>机关运行经费支出</w:t>
      </w:r>
      <w:r>
        <w:rPr>
          <w:rFonts w:eastAsia="方正仿宋_GBK" w:cs="方正仿宋_GBK" w:hint="eastAsia"/>
          <w:kern w:val="0"/>
          <w:sz w:val="32"/>
          <w:szCs w:val="32"/>
          <w:lang w:val="en-US" w:eastAsia="zh-CN"/>
        </w:rPr>
        <w:t>290.73</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val="en-US" w:eastAsia="zh-CN"/>
        </w:rPr>
        <w:t>较上年</w:t>
      </w:r>
      <w:r>
        <w:rPr>
          <w:rFonts w:ascii="Times New Roman" w:eastAsia="方正仿宋_GBK" w:cs="方正仿宋_GBK" w:hAnsi="Times New Roman" w:hint="eastAsia"/>
          <w:kern w:val="0"/>
          <w:sz w:val="32"/>
          <w:szCs w:val="32"/>
        </w:rPr>
        <w:t>增加</w:t>
      </w:r>
      <w:r>
        <w:rPr>
          <w:rFonts w:eastAsia="方正仿宋_GBK" w:cs="方正仿宋_GBK" w:hint="eastAsia"/>
          <w:kern w:val="0"/>
          <w:sz w:val="32"/>
          <w:szCs w:val="32"/>
          <w:lang w:val="en-US" w:eastAsia="zh-CN"/>
        </w:rPr>
        <w:t>39.75</w:t>
      </w:r>
      <w:r>
        <w:rPr>
          <w:rFonts w:ascii="Times New Roman" w:eastAsia="方正仿宋_GBK" w:cs="方正仿宋_GBK" w:hAnsi="Times New Roman" w:hint="eastAsia"/>
          <w:kern w:val="0"/>
          <w:sz w:val="32"/>
          <w:szCs w:val="32"/>
        </w:rPr>
        <w:t>万元，增长</w:t>
      </w:r>
      <w:r>
        <w:rPr>
          <w:rFonts w:eastAsia="方正仿宋_GBK" w:cs="方正仿宋_GBK" w:hint="eastAsia"/>
          <w:kern w:val="0"/>
          <w:sz w:val="32"/>
          <w:szCs w:val="32"/>
          <w:lang w:val="en-US" w:eastAsia="zh-CN"/>
        </w:rPr>
        <w:t>15.84</w:t>
      </w:r>
      <w:r>
        <w:rPr>
          <w:rFonts w:ascii="Times New Roman" w:eastAsia="方正仿宋_GBK" w:cs="方正仿宋_GBK" w:hAnsi="Times New Roman" w:hint="eastAsia"/>
          <w:kern w:val="0"/>
          <w:sz w:val="32"/>
          <w:szCs w:val="32"/>
        </w:rPr>
        <w:t>%，主要原因是</w:t>
      </w:r>
      <w:r>
        <w:rPr>
          <w:rFonts w:ascii="Times New Roman" w:eastAsia="方正仿宋_GBK" w:cs="方正仿宋_GBK" w:hAnsi="Times New Roman" w:hint="eastAsia"/>
          <w:kern w:val="0"/>
          <w:sz w:val="32"/>
          <w:szCs w:val="32"/>
          <w:lang w:val="en-US" w:eastAsia="zh-CN"/>
        </w:rPr>
        <w:t>区住建委执法支队35人划转至本单位导致机关运行经费增加</w:t>
      </w:r>
      <w:r>
        <w:rPr>
          <w:rFonts w:ascii="Times New Roman" w:eastAsia="方正仿宋_GBK" w:cs="方正仿宋_GBK" w:hAnsi="Times New Roman" w:hint="eastAsia"/>
          <w:kern w:val="0"/>
          <w:sz w:val="32"/>
          <w:szCs w:val="32"/>
        </w:rPr>
        <w:t>。比年初预算数增加</w:t>
      </w:r>
      <w:r>
        <w:rPr>
          <w:rFonts w:eastAsia="方正仿宋_GBK" w:cs="方正仿宋_GBK" w:hint="eastAsia"/>
          <w:kern w:val="0"/>
          <w:sz w:val="32"/>
          <w:szCs w:val="32"/>
          <w:lang w:val="en-US" w:eastAsia="zh-CN"/>
        </w:rPr>
        <w:t>38.20</w:t>
      </w:r>
      <w:r>
        <w:rPr>
          <w:rFonts w:ascii="Times New Roman" w:eastAsia="方正仿宋_GBK" w:cs="方正仿宋_GBK" w:hAnsi="Times New Roman" w:hint="eastAsia"/>
          <w:kern w:val="0"/>
          <w:sz w:val="32"/>
          <w:szCs w:val="32"/>
        </w:rPr>
        <w:t>万元，增长</w:t>
      </w:r>
      <w:r>
        <w:rPr>
          <w:rFonts w:eastAsia="方正仿宋_GBK" w:cs="方正仿宋_GBK" w:hint="eastAsia"/>
          <w:kern w:val="0"/>
          <w:sz w:val="32"/>
          <w:szCs w:val="32"/>
          <w:lang w:val="en-US" w:eastAsia="zh-CN"/>
        </w:rPr>
        <w:t>15.13</w:t>
      </w:r>
      <w:r>
        <w:rPr>
          <w:rFonts w:ascii="Times New Roman" w:eastAsia="方正仿宋_GBK" w:cs="方正仿宋_GBK" w:hAnsi="Times New Roman" w:hint="eastAsia"/>
          <w:kern w:val="0"/>
          <w:sz w:val="32"/>
          <w:szCs w:val="32"/>
        </w:rPr>
        <w:t>%，主要原因是</w:t>
      </w:r>
      <w:r>
        <w:rPr>
          <w:rFonts w:ascii="Times New Roman" w:eastAsia="方正仿宋_GBK" w:cs="方正仿宋_GBK" w:hAnsi="Times New Roman" w:hint="eastAsia"/>
          <w:kern w:val="0"/>
          <w:sz w:val="32"/>
          <w:szCs w:val="32"/>
          <w:lang w:val="en-US" w:eastAsia="zh-CN"/>
        </w:rPr>
        <w:t>区住建委执法支队35人划转至本单位</w:t>
      </w:r>
      <w:r>
        <w:rPr>
          <w:rFonts w:ascii="Times New Roman" w:eastAsia="方正仿宋_GBK" w:cs="方正仿宋_GBK" w:hAnsi="Times New Roman" w:hint="eastAsia"/>
          <w:kern w:val="0"/>
          <w:sz w:val="32"/>
          <w:szCs w:val="32"/>
        </w:rPr>
        <w:t>。机关运</w:t>
      </w:r>
      <w:r>
        <w:rPr>
          <w:rFonts w:eastAsia="方正仿宋_GBK" w:cs="方正仿宋_GBK" w:hint="eastAsia"/>
          <w:kern w:val="0"/>
          <w:sz w:val="32"/>
          <w:szCs w:val="32"/>
          <w:lang w:val="en-US" w:eastAsia="zh-CN"/>
        </w:rPr>
        <w:t>行</w:t>
      </w:r>
      <w:r>
        <w:rPr>
          <w:rFonts w:ascii="Times New Roman" w:eastAsia="方正仿宋_GBK" w:cs="方正仿宋_GBK" w:hAnsi="Times New Roman" w:hint="eastAsia"/>
          <w:kern w:val="0"/>
          <w:sz w:val="32"/>
          <w:szCs w:val="32"/>
        </w:rPr>
        <w:t>经费主要用于</w:t>
      </w:r>
      <w:r>
        <w:rPr>
          <w:rFonts w:ascii="Times New Roman" w:eastAsia="方正仿宋_GBK" w:cs="方正仿宋_GBK" w:hAnsi="Times New Roman" w:hint="eastAsia"/>
          <w:color w:val="auto"/>
          <w:sz w:val="32"/>
          <w:lang w:val="en-US" w:eastAsia="zh-CN"/>
        </w:rPr>
        <w:t>办公、水电、物业、公务接待、公务用车运行维护、培训、食堂采购、工会行政补助、福利费等方面支出</w:t>
      </w:r>
      <w:r>
        <w:rPr>
          <w:rFonts w:ascii="Times New Roman" w:eastAsia="方正仿宋_GBK" w:cs="方正仿宋_GBK" w:hAnsi="Times New Roman" w:hint="eastAsia"/>
          <w:kern w:val="0"/>
          <w:sz w:val="32"/>
          <w:szCs w:val="32"/>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（三）国有资产占用情况说明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截至202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年12月31日，本部门共有车辆</w:t>
      </w:r>
      <w:r>
        <w:rPr>
          <w:rFonts w:eastAsia="方正仿宋_GBK" w:cs="方正仿宋_GBK" w:hint="eastAsia"/>
          <w:kern w:val="0"/>
          <w:sz w:val="32"/>
          <w:szCs w:val="32"/>
          <w:lang w:val="en-US" w:eastAsia="zh-CN"/>
        </w:rPr>
        <w:t>14</w:t>
      </w:r>
      <w:r>
        <w:rPr>
          <w:rFonts w:ascii="Times New Roman" w:eastAsia="方正仿宋_GBK" w:cs="方正仿宋_GBK" w:hAnsi="Times New Roman" w:hint="eastAsia"/>
          <w:kern w:val="0"/>
          <w:sz w:val="32"/>
          <w:szCs w:val="32"/>
        </w:rPr>
        <w:t>辆。其中：副部（省）级及以上领导用车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辆，主要</w:t>
      </w:r>
      <w:r>
        <w:rPr>
          <w:rFonts w:ascii="Times New Roman" w:eastAsia="方正仿宋_GBK" w:cs="方正仿宋_GBK" w:hAnsi="Times New Roman" w:hint="eastAsia"/>
          <w:kern w:val="0"/>
          <w:sz w:val="32"/>
          <w:szCs w:val="32"/>
          <w:lang w:val="en-US" w:eastAsia="zh-CN"/>
        </w:rPr>
        <w:t>负责人</w:t>
      </w:r>
      <w:r>
        <w:rPr>
          <w:rFonts w:ascii="Times New Roman" w:eastAsia="方正仿宋_GBK" w:cs="方正仿宋_GBK" w:hAnsi="Times New Roman" w:hint="eastAsia"/>
          <w:kern w:val="0"/>
          <w:sz w:val="32"/>
          <w:szCs w:val="32"/>
        </w:rPr>
        <w:t>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辆，机要通信用车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辆，应急保障用车</w:t>
      </w:r>
      <w:r>
        <w:rPr>
          <w:rFonts w:eastAsia="方正仿宋_GBK" w:cs="方正仿宋_GBK" w:hint="eastAsia"/>
          <w:kern w:val="0"/>
          <w:sz w:val="32"/>
          <w:szCs w:val="32"/>
          <w:lang w:val="en-US" w:eastAsia="zh-CN"/>
        </w:rPr>
        <w:t>9</w:t>
      </w:r>
      <w:r>
        <w:rPr>
          <w:rFonts w:ascii="Times New Roman" w:eastAsia="方正仿宋_GBK" w:cs="方正仿宋_GBK" w:hAnsi="Times New Roman" w:hint="eastAsia"/>
          <w:kern w:val="0"/>
          <w:sz w:val="32"/>
          <w:szCs w:val="32"/>
        </w:rPr>
        <w:t>辆，执法执勤用车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辆，特种专业技术用车</w:t>
      </w:r>
      <w:r>
        <w:rPr>
          <w:rFonts w:eastAsia="方正仿宋_GBK" w:cs="方正仿宋_GBK" w:hint="eastAsia"/>
          <w:kern w:val="0"/>
          <w:sz w:val="32"/>
          <w:szCs w:val="32"/>
          <w:lang w:val="en-US" w:eastAsia="zh-CN"/>
        </w:rPr>
        <w:t>5</w:t>
      </w:r>
      <w:r>
        <w:rPr>
          <w:rFonts w:ascii="Times New Roman" w:eastAsia="方正仿宋_GBK" w:cs="方正仿宋_GBK" w:hAnsi="Times New Roman" w:hint="eastAsia"/>
          <w:kern w:val="0"/>
          <w:sz w:val="32"/>
          <w:szCs w:val="32"/>
        </w:rPr>
        <w:t>辆，离退休干部</w:t>
      </w:r>
      <w:r>
        <w:rPr>
          <w:rFonts w:ascii="Times New Roman" w:eastAsia="方正仿宋_GBK" w:cs="方正仿宋_GBK" w:hAnsi="Times New Roman" w:hint="eastAsia"/>
          <w:kern w:val="0"/>
          <w:sz w:val="32"/>
          <w:szCs w:val="32"/>
          <w:lang w:val="en-US" w:eastAsia="zh-CN"/>
        </w:rPr>
        <w:t>服务</w:t>
      </w:r>
      <w:r>
        <w:rPr>
          <w:rFonts w:ascii="Times New Roman" w:eastAsia="方正仿宋_GBK" w:cs="方正仿宋_GBK" w:hAnsi="Times New Roman" w:hint="eastAsia"/>
          <w:kern w:val="0"/>
          <w:sz w:val="32"/>
          <w:szCs w:val="32"/>
        </w:rPr>
        <w:t>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辆，其他用车</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辆。单价100万元（含）以上设备</w:t>
      </w:r>
      <w:r>
        <w:rPr>
          <w:rFonts w:ascii="Times New Roman" w:eastAsia="方正仿宋_GBK" w:cs="方正仿宋_GBK" w:hAnsi="Times New Roman" w:hint="eastAsia"/>
          <w:kern w:val="0"/>
          <w:sz w:val="32"/>
          <w:szCs w:val="32"/>
          <w:lang w:eastAsia="zh-CN"/>
        </w:rPr>
        <w:t>（</w:t>
      </w:r>
      <w:r>
        <w:rPr>
          <w:rFonts w:ascii="Times New Roman" w:eastAsia="方正仿宋_GBK" w:cs="方正仿宋_GBK" w:hAnsi="Times New Roman" w:hint="eastAsia"/>
          <w:kern w:val="0"/>
          <w:sz w:val="32"/>
          <w:szCs w:val="32"/>
          <w:lang w:val="en-US" w:eastAsia="zh-CN"/>
        </w:rPr>
        <w:t>不含车辆</w:t>
      </w:r>
      <w:r>
        <w:rPr>
          <w:rFonts w:ascii="Times New Roman" w:eastAsia="方正仿宋_GBK" w:cs="方正仿宋_GBK" w:hAnsi="Times New Roman" w:hint="eastAsia"/>
          <w:kern w:val="0"/>
          <w:sz w:val="32"/>
          <w:szCs w:val="32"/>
          <w:lang w:eastAsia="zh-CN"/>
        </w:rPr>
        <w:t>）</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台（套）。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（四）政府采购支出说明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kern w:val="0"/>
          <w:sz w:val="32"/>
          <w:szCs w:val="32"/>
        </w:rPr>
        <w:t>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年度本部门政府采购支出总额</w:t>
      </w:r>
      <w:r>
        <w:rPr>
          <w:rFonts w:ascii="方正仿宋_GBK" w:eastAsia="方正仿宋_GBK" w:cs="方正仿宋_GBK"/>
          <w:sz w:val="32"/>
          <w:szCs w:val="32"/>
        </w:rPr>
        <w:t>490.28</w:t>
      </w:r>
      <w:r>
        <w:rPr>
          <w:rFonts w:ascii="Times New Roman" w:eastAsia="方正仿宋_GBK" w:cs="方正仿宋_GBK" w:hAnsi="Times New Roman" w:hint="eastAsia"/>
          <w:kern w:val="0"/>
          <w:sz w:val="32"/>
          <w:szCs w:val="32"/>
        </w:rPr>
        <w:t>万元，其中：政府采购货物支出</w:t>
      </w:r>
      <w:r>
        <w:rPr>
          <w:rFonts w:ascii="方正仿宋_GBK" w:eastAsia="方正仿宋_GBK" w:cs="方正仿宋_GBK"/>
          <w:sz w:val="32"/>
          <w:szCs w:val="32"/>
        </w:rPr>
        <w:t>370.48</w:t>
      </w:r>
      <w:r>
        <w:rPr>
          <w:rFonts w:ascii="Times New Roman" w:eastAsia="方正仿宋_GBK" w:cs="方正仿宋_GBK" w:hAnsi="Times New Roman" w:hint="eastAsia"/>
          <w:kern w:val="0"/>
          <w:sz w:val="32"/>
          <w:szCs w:val="32"/>
        </w:rPr>
        <w:t>万元、政府采购工程支出</w:t>
      </w:r>
      <w:r>
        <w:rPr>
          <w:rFonts w:eastAsia="方正仿宋_GBK" w:cs="方正仿宋_GBK" w:hint="eastAsia"/>
          <w:kern w:val="0"/>
          <w:sz w:val="32"/>
          <w:szCs w:val="32"/>
          <w:lang w:val="en-US" w:eastAsia="zh-CN"/>
        </w:rPr>
        <w:t>0.00</w:t>
      </w:r>
      <w:r>
        <w:rPr>
          <w:rFonts w:ascii="Times New Roman" w:eastAsia="方正仿宋_GBK" w:cs="方正仿宋_GBK" w:hAnsi="Times New Roman" w:hint="eastAsia"/>
          <w:kern w:val="0"/>
          <w:sz w:val="32"/>
          <w:szCs w:val="32"/>
        </w:rPr>
        <w:t>万元、政府采购服务支出</w:t>
      </w:r>
      <w:r>
        <w:rPr>
          <w:rFonts w:ascii="方正仿宋_GBK" w:eastAsia="方正仿宋_GBK" w:cs="方正仿宋_GBK"/>
          <w:sz w:val="32"/>
          <w:szCs w:val="32"/>
        </w:rPr>
        <w:t>119.80</w:t>
      </w:r>
      <w:r>
        <w:rPr>
          <w:rFonts w:ascii="Times New Roman" w:eastAsia="方正仿宋_GBK" w:cs="方正仿宋_GBK" w:hAnsi="Times New Roman" w:hint="eastAsia"/>
          <w:kern w:val="0"/>
          <w:sz w:val="32"/>
          <w:szCs w:val="32"/>
        </w:rPr>
        <w:t>万元。授予中小企业合同金额</w:t>
      </w:r>
      <w:r>
        <w:rPr>
          <w:rFonts w:ascii="方正仿宋_GBK" w:eastAsia="方正仿宋_GBK" w:cs="方正仿宋_GBK"/>
          <w:sz w:val="32"/>
          <w:szCs w:val="32"/>
        </w:rPr>
        <w:t>485.58</w:t>
      </w:r>
      <w:r>
        <w:rPr>
          <w:rFonts w:ascii="Times New Roman" w:eastAsia="方正仿宋_GBK" w:cs="方正仿宋_GBK" w:hAnsi="Times New Roman" w:hint="eastAsia"/>
          <w:kern w:val="0"/>
          <w:sz w:val="32"/>
          <w:szCs w:val="32"/>
        </w:rPr>
        <w:t>万元，占政府采购支出总额的</w:t>
      </w:r>
      <w:r>
        <w:rPr>
          <w:rFonts w:ascii="方正仿宋_GBK" w:eastAsia="方正仿宋_GBK" w:cs="方正仿宋_GBK"/>
          <w:sz w:val="32"/>
          <w:szCs w:val="32"/>
        </w:rPr>
        <w:t>99.04</w:t>
      </w:r>
      <w:r>
        <w:rPr>
          <w:rFonts w:ascii="Times New Roman" w:eastAsia="方正仿宋_GBK" w:cs="方正仿宋_GBK" w:hAnsi="Times New Roman" w:hint="eastAsia"/>
          <w:kern w:val="0"/>
          <w:sz w:val="32"/>
          <w:szCs w:val="32"/>
        </w:rPr>
        <w:t>%，其中：授予小微企业合同金额</w:t>
      </w:r>
      <w:r>
        <w:rPr>
          <w:rFonts w:ascii="方正仿宋_GBK" w:eastAsia="方正仿宋_GBK" w:cs="方正仿宋_GBK"/>
          <w:sz w:val="32"/>
          <w:szCs w:val="32"/>
        </w:rPr>
        <w:t>364.56</w:t>
      </w:r>
      <w:r>
        <w:rPr>
          <w:rFonts w:ascii="Times New Roman" w:eastAsia="方正仿宋_GBK" w:cs="方正仿宋_GBK" w:hAnsi="Times New Roman" w:hint="eastAsia"/>
          <w:kern w:val="0"/>
          <w:sz w:val="32"/>
          <w:szCs w:val="32"/>
        </w:rPr>
        <w:t>万元，占政府采购支出总额的</w:t>
      </w:r>
      <w:r>
        <w:rPr>
          <w:rFonts w:ascii="方正仿宋_GBK" w:eastAsia="方正仿宋_GBK" w:cs="方正仿宋_GBK"/>
          <w:sz w:val="32"/>
          <w:szCs w:val="32"/>
        </w:rPr>
        <w:t>74.36</w:t>
      </w:r>
      <w:r>
        <w:rPr>
          <w:rFonts w:ascii="方正仿宋_GBK" w:eastAsia="方正仿宋_GBK" w:cs="方正仿宋_GBK"/>
          <w:sz w:val="32"/>
          <w:szCs w:val="32"/>
          <w:shd w:val="clear" w:color="auto" w:fill="FFFFFF"/>
        </w:rPr>
        <w:t xml:space="preserve"> </w:t>
      </w:r>
      <w:r>
        <w:rPr>
          <w:rFonts w:ascii="Times New Roman" w:eastAsia="方正仿宋_GBK" w:cs="方正仿宋_GBK" w:hAnsi="Times New Roman" w:hint="eastAsia"/>
          <w:kern w:val="0"/>
          <w:sz w:val="32"/>
          <w:szCs w:val="32"/>
        </w:rPr>
        <w:t>%。</w:t>
      </w:r>
      <w:r>
        <w:rPr>
          <w:rFonts w:ascii="Times New Roman" w:eastAsia="方正仿宋_GBK" w:cs="方正仿宋_GBK" w:hAnsi="Times New Roman" w:hint="eastAsia"/>
          <w:color w:val="auto"/>
          <w:sz w:val="32"/>
          <w:lang w:val="en-US" w:eastAsia="zh-CN"/>
        </w:rPr>
        <w:t>主要用于采购空调、电脑、打印机等办公设备</w:t>
      </w:r>
      <w:r>
        <w:rPr>
          <w:rFonts w:eastAsia="方正仿宋_GBK" w:cs="方正仿宋_GBK" w:hint="eastAsia"/>
          <w:color w:val="auto"/>
          <w:sz w:val="32"/>
          <w:lang w:val="en-US" w:eastAsia="zh-CN"/>
        </w:rPr>
        <w:t>、机械化清漂船等货物及几江长江大桥荷载试验、城市桥隧检测等服务</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left"/>
        <w:textAlignment w:val="auto"/>
        <w:outlineLvl w:val="0"/>
        <w:rPr>
          <w:rFonts w:ascii="Times New Roman" w:eastAsia="方正黑体_GBK" w:cs="方正黑体_GBK" w:hAnsi="Times New Roman" w:hint="eastAsia"/>
          <w:b w:val="0"/>
          <w:bCs/>
          <w:sz w:val="32"/>
          <w:szCs w:val="32"/>
          <w:lang w:eastAsia="zh-CN"/>
        </w:rPr>
      </w:pPr>
      <w:r>
        <w:rPr>
          <w:rStyle w:val="19"/>
          <w:rFonts w:ascii="Times New Roman" w:eastAsia="方正黑体_GBK" w:cs="方正黑体_GBK" w:hAnsi="Times New Roman" w:hint="eastAsia"/>
          <w:b w:val="0"/>
          <w:bCs/>
          <w:sz w:val="32"/>
          <w:szCs w:val="32"/>
          <w:shd w:val="clear" w:color="auto" w:fill="FFFFFF"/>
        </w:rPr>
        <w:t>五、预算绩效管理情况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Fonts w:ascii="Times New Roman" w:eastAsia="方正楷体_GBK" w:cs="方正楷体_GBK" w:hAnsi="Times New Roman" w:hint="eastAsi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（一）预算绩效管理工作开展情况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Times New Roman" w:eastAsia="方正仿宋_GBK" w:cs="方正仿宋_GBK" w:hAnsi="Times New Roman" w:hint="eastAsia"/>
        </w:rPr>
      </w:pPr>
      <w:r>
        <w:rPr>
          <w:rFonts w:ascii="Times New Roman" w:eastAsia="方正仿宋_GBK" w:cs="方正仿宋_GBK" w:hAnsi="Times New Roman" w:hint="eastAsia"/>
          <w:kern w:val="0"/>
          <w:sz w:val="32"/>
          <w:szCs w:val="32"/>
        </w:rPr>
        <w:t>根据预算绩效管理要求，我局（部、委、办）对部门整体和</w:t>
      </w:r>
      <w:r>
        <w:rPr>
          <w:rFonts w:eastAsia="方正仿宋_GBK" w:cs="方正仿宋_GBK" w:hint="eastAsia"/>
          <w:kern w:val="0"/>
          <w:sz w:val="32"/>
          <w:szCs w:val="32"/>
          <w:lang w:val="en-US" w:eastAsia="zh-CN"/>
        </w:rPr>
        <w:t>60</w:t>
      </w:r>
      <w:r>
        <w:rPr>
          <w:rFonts w:ascii="Times New Roman" w:eastAsia="方正仿宋_GBK" w:cs="方正仿宋_GBK" w:hAnsi="Times New Roman" w:hint="eastAsia"/>
          <w:kern w:val="0"/>
          <w:sz w:val="32"/>
          <w:szCs w:val="32"/>
        </w:rPr>
        <w:t>个项目开展了绩效自评，其中，以填报目标自评表形式开展自评</w:t>
      </w:r>
      <w:r>
        <w:rPr>
          <w:rFonts w:eastAsia="方正仿宋_GBK" w:cs="方正仿宋_GBK" w:hint="eastAsia"/>
          <w:kern w:val="0"/>
          <w:sz w:val="32"/>
          <w:szCs w:val="32"/>
          <w:lang w:val="en-US" w:eastAsia="zh-CN"/>
        </w:rPr>
        <w:t>60</w:t>
      </w:r>
      <w:r>
        <w:rPr>
          <w:rFonts w:ascii="Times New Roman" w:eastAsia="方正仿宋_GBK" w:cs="方正仿宋_GBK" w:hAnsi="Times New Roman" w:hint="eastAsia"/>
          <w:kern w:val="0"/>
          <w:sz w:val="32"/>
          <w:szCs w:val="32"/>
        </w:rPr>
        <w:t>项，涉及资金</w:t>
      </w:r>
      <w:r>
        <w:rPr>
          <w:rFonts w:eastAsia="方正仿宋_GBK" w:cs="方正仿宋_GBK" w:hint="eastAsia"/>
          <w:kern w:val="0"/>
          <w:sz w:val="32"/>
          <w:szCs w:val="32"/>
          <w:lang w:val="en-US" w:eastAsia="zh-CN"/>
        </w:rPr>
        <w:t>16626.59</w:t>
      </w:r>
      <w:r>
        <w:rPr>
          <w:rFonts w:ascii="Times New Roman" w:eastAsia="方正仿宋_GBK" w:cs="方正仿宋_GBK" w:hAnsi="Times New Roman" w:hint="eastAsia"/>
          <w:kern w:val="0"/>
          <w:sz w:val="32"/>
          <w:szCs w:val="32"/>
        </w:rPr>
        <w:t>万元；以委托第三方形式开展绩效自评</w:t>
      </w:r>
      <w:r>
        <w:rPr>
          <w:rFonts w:eastAsia="方正仿宋_GBK" w:cs="方正仿宋_GBK" w:hint="eastAsia"/>
          <w:kern w:val="0"/>
          <w:sz w:val="32"/>
          <w:szCs w:val="32"/>
          <w:lang w:val="en-US" w:eastAsia="zh-CN"/>
        </w:rPr>
        <w:t>0</w:t>
      </w:r>
      <w:r>
        <w:rPr>
          <w:rFonts w:ascii="Times New Roman" w:eastAsia="方正仿宋_GBK" w:cs="方正仿宋_GBK" w:hAnsi="Times New Roman" w:hint="eastAsia"/>
          <w:kern w:val="0"/>
          <w:sz w:val="32"/>
          <w:szCs w:val="32"/>
        </w:rPr>
        <w:t>项，涉及资金</w:t>
      </w:r>
      <w:r>
        <w:rPr>
          <w:rFonts w:eastAsia="方正仿宋_GBK" w:cs="方正仿宋_GBK" w:hint="eastAsia"/>
          <w:kern w:val="0"/>
          <w:sz w:val="32"/>
          <w:szCs w:val="32"/>
          <w:lang w:val="en-US" w:eastAsia="zh-CN"/>
        </w:rPr>
        <w:t>0.00</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eastAsia="zh-CN"/>
        </w:rPr>
        <w:t>。</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（二）绩效自评结果</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Times New Roman" w:eastAsia="方正仿宋_GBK" w:cs="方正仿宋_GBK" w:hAnsi="Times New Roman" w:hint="eastAsia"/>
          <w:b/>
          <w:bCs/>
          <w:color w:val="auto"/>
          <w:sz w:val="32"/>
          <w:lang w:val="en-US" w:eastAsia="zh-CN"/>
        </w:rPr>
      </w:pPr>
      <w:r>
        <w:rPr>
          <w:rFonts w:ascii="Times New Roman" w:eastAsia="方正仿宋_GBK" w:cs="方正仿宋_GBK" w:hAnsi="Times New Roman" w:hint="eastAsia"/>
          <w:b/>
          <w:bCs/>
          <w:color w:val="auto"/>
          <w:sz w:val="32"/>
          <w:lang w:val="en-US" w:eastAsia="zh-CN"/>
        </w:rPr>
        <w:t>1. 绩效目标自评表</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000000"/>
          <w:kern w:val="0"/>
          <w:sz w:val="32"/>
          <w:szCs w:val="32"/>
        </w:rPr>
        <w:t>（1）公开范围。</w:t>
      </w:r>
      <w:r>
        <w:rPr>
          <w:rFonts w:ascii="Times New Roman" w:eastAsia="方正仿宋_GBK" w:cs="方正仿宋_GBK" w:hAnsi="Times New Roman" w:hint="eastAsia"/>
          <w:color w:val="auto"/>
          <w:kern w:val="0"/>
          <w:sz w:val="32"/>
          <w:szCs w:val="32"/>
          <w:lang w:val="en-US" w:eastAsia="zh-CN"/>
        </w:rPr>
        <w:t>部门</w:t>
      </w:r>
      <w:r>
        <w:rPr>
          <w:rFonts w:ascii="Times New Roman" w:eastAsia="方正仿宋_GBK" w:cs="方正仿宋_GBK" w:hAnsi="Times New Roman" w:hint="eastAsia"/>
          <w:color w:val="auto"/>
          <w:kern w:val="0"/>
          <w:sz w:val="32"/>
          <w:szCs w:val="32"/>
        </w:rPr>
        <w:t>应公开部门整体绩效自评表</w:t>
      </w:r>
      <w:r>
        <w:rPr>
          <w:rFonts w:ascii="Times New Roman" w:eastAsia="方正仿宋_GBK" w:cs="方正仿宋_GBK" w:hAnsi="Times New Roman" w:hint="eastAsia"/>
          <w:color w:val="auto"/>
          <w:kern w:val="0"/>
          <w:sz w:val="32"/>
          <w:szCs w:val="32"/>
          <w:lang w:val="en-US" w:eastAsia="zh-CN"/>
        </w:rPr>
        <w:t>和</w:t>
      </w:r>
      <w:r>
        <w:rPr>
          <w:rFonts w:ascii="Times New Roman" w:eastAsia="方正仿宋_GBK" w:cs="方正仿宋_GBK" w:hAnsi="Times New Roman" w:hint="eastAsia"/>
          <w:color w:val="auto"/>
          <w:sz w:val="32"/>
          <w:szCs w:val="32"/>
          <w:lang w:val="en-US" w:eastAsia="zh-CN"/>
          <w:highlight w:val="auto"/>
        </w:rPr>
        <w:t>项目绩效自评表，单位只需公开项目绩效自评表</w:t>
      </w:r>
      <w:r>
        <w:rPr>
          <w:rFonts w:ascii="Times New Roman" w:eastAsia="方正仿宋_GBK" w:cs="方正仿宋_GBK" w:hAnsi="Times New Roman" w:hint="eastAsia"/>
          <w:color w:val="auto"/>
          <w:kern w:val="0"/>
          <w:sz w:val="32"/>
          <w:szCs w:val="32"/>
        </w:rPr>
        <w:t>。有重点专项</w:t>
      </w:r>
      <w:r>
        <w:rPr>
          <w:rFonts w:ascii="Times New Roman" w:eastAsia="方正仿宋_GBK" w:cs="方正仿宋_GBK" w:hAnsi="Times New Roman" w:hint="eastAsia"/>
          <w:color w:val="auto"/>
          <w:kern w:val="0"/>
          <w:sz w:val="32"/>
          <w:szCs w:val="32"/>
          <w:lang w:val="en-US" w:eastAsia="zh-CN"/>
        </w:rPr>
        <w:t>项目</w:t>
      </w:r>
      <w:r>
        <w:rPr>
          <w:rFonts w:ascii="Times New Roman" w:eastAsia="方正仿宋_GBK" w:cs="方正仿宋_GBK" w:hAnsi="Times New Roman" w:hint="eastAsia"/>
          <w:color w:val="auto"/>
          <w:kern w:val="0"/>
          <w:sz w:val="32"/>
          <w:szCs w:val="32"/>
        </w:rPr>
        <w:t>的部门应公开所有重点专项项目</w:t>
      </w:r>
      <w:r>
        <w:rPr>
          <w:rFonts w:ascii="Times New Roman" w:eastAsia="方正仿宋_GBK" w:cs="方正仿宋_GBK" w:hAnsi="Times New Roman" w:hint="eastAsia"/>
          <w:color w:val="auto"/>
          <w:kern w:val="0"/>
          <w:sz w:val="32"/>
          <w:szCs w:val="32"/>
          <w:lang w:val="en-US" w:eastAsia="zh-CN"/>
        </w:rPr>
        <w:t>绩效自评表</w:t>
      </w:r>
      <w:r>
        <w:rPr>
          <w:rFonts w:ascii="Times New Roman" w:eastAsia="方正仿宋_GBK" w:cs="方正仿宋_GBK" w:hAnsi="Times New Roman" w:hint="eastAsia"/>
          <w:color w:val="auto"/>
          <w:kern w:val="0"/>
          <w:sz w:val="32"/>
          <w:szCs w:val="32"/>
        </w:rPr>
        <w:t>；无重点专项</w:t>
      </w:r>
      <w:r>
        <w:rPr>
          <w:rFonts w:ascii="Times New Roman" w:eastAsia="方正仿宋_GBK" w:cs="方正仿宋_GBK" w:hAnsi="Times New Roman" w:hint="eastAsia"/>
          <w:color w:val="auto"/>
          <w:kern w:val="0"/>
          <w:sz w:val="32"/>
          <w:szCs w:val="32"/>
          <w:lang w:val="en-US" w:eastAsia="zh-CN"/>
        </w:rPr>
        <w:t>项目</w:t>
      </w:r>
      <w:r>
        <w:rPr>
          <w:rFonts w:ascii="Times New Roman" w:eastAsia="方正仿宋_GBK" w:cs="方正仿宋_GBK" w:hAnsi="Times New Roman" w:hint="eastAsia"/>
          <w:color w:val="auto"/>
          <w:kern w:val="0"/>
          <w:sz w:val="32"/>
          <w:szCs w:val="32"/>
        </w:rPr>
        <w:t>的部门应选择至少</w:t>
      </w:r>
      <w:r>
        <w:rPr>
          <w:rFonts w:ascii="Times New Roman" w:eastAsia="方正仿宋_GBK" w:cs="方正仿宋_GBK" w:hAnsi="Times New Roman" w:hint="eastAsia"/>
          <w:color w:val="auto"/>
          <w:kern w:val="0"/>
          <w:sz w:val="32"/>
          <w:szCs w:val="32"/>
          <w:lang w:val="en-US" w:eastAsia="zh-CN"/>
        </w:rPr>
        <w:t>一</w:t>
      </w:r>
      <w:r>
        <w:rPr>
          <w:rFonts w:ascii="Times New Roman" w:eastAsia="方正仿宋_GBK" w:cs="方正仿宋_GBK" w:hAnsi="Times New Roman" w:hint="eastAsia"/>
          <w:color w:val="auto"/>
          <w:kern w:val="0"/>
          <w:sz w:val="32"/>
          <w:szCs w:val="32"/>
        </w:rPr>
        <w:t>个一般性项目绩效自评表进行公开。</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（2）公开内容。详见表格。</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Times New Roman" w:eastAsia="方正黑体_GBK" w:cs="方正黑体_GBK" w:hAnsi="Times New Roman" w:hint="eastAsia"/>
          <w:b w:val="0"/>
          <w:bCs w:val="0"/>
          <w:color w:val="000000"/>
          <w:kern w:val="0"/>
          <w:sz w:val="36"/>
          <w:szCs w:val="36"/>
        </w:rPr>
      </w:pPr>
      <w:r>
        <w:rPr>
          <w:rFonts w:ascii="Times New Roman" w:eastAsia="方正黑体_GBK" w:cs="方正黑体_GBK" w:hAnsi="Times New Roman" w:hint="eastAsia"/>
          <w:b w:val="0"/>
          <w:bCs w:val="0"/>
          <w:color w:val="000000"/>
          <w:kern w:val="0"/>
          <w:sz w:val="36"/>
          <w:szCs w:val="36"/>
          <w:lang w:val="en-US" w:eastAsia="zh-CN"/>
        </w:rPr>
        <w:t>2024年度部门整体</w:t>
      </w:r>
      <w:r>
        <w:rPr>
          <w:rFonts w:ascii="Times New Roman" w:eastAsia="方正黑体_GBK" w:cs="方正黑体_GBK" w:hAnsi="Times New Roman" w:hint="eastAsia"/>
          <w:b w:val="0"/>
          <w:bCs w:val="0"/>
          <w:color w:val="000000"/>
          <w:kern w:val="0"/>
          <w:sz w:val="36"/>
          <w:szCs w:val="36"/>
        </w:rPr>
        <w:t>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447"/>
        <w:gridCol w:w="391"/>
        <w:gridCol w:w="953"/>
        <w:gridCol w:w="1029"/>
        <w:gridCol w:w="816"/>
        <w:gridCol w:w="1175"/>
        <w:gridCol w:w="1465"/>
        <w:gridCol w:w="836"/>
      </w:tblGrid>
      <w:tr>
        <w:trPr>
          <w:trHeight w:val="1138"/>
        </w:trPr>
        <w:tc>
          <w:tcPr>
            <w:tcW w:w="84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3964" w:type="dxa"/>
            <w:gridSpan w:val="6"/>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重庆市江津区城市管理局整体自评</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自评总分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4292"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r>
      <w:tr>
        <w:trPr>
          <w:trHeight w:val="1682"/>
        </w:trPr>
        <w:tc>
          <w:tcPr>
            <w:tcW w:w="84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lang w:val="en-US" w:eastAsia="zh-CN"/>
              </w:rPr>
              <w:t>项目</w:t>
            </w:r>
            <w:r>
              <w:rPr>
                <w:rFonts w:ascii="Times New Roman" w:eastAsia="方正仿宋_GBK" w:cs="方正仿宋_GBK" w:hAnsi="Times New Roman" w:hint="eastAsia"/>
                <w:color w:val="000000"/>
                <w:kern w:val="0"/>
                <w:sz w:val="24"/>
                <w:szCs w:val="24"/>
              </w:rPr>
              <w:t>主管</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部门</w:t>
            </w: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403-重庆市江津区城市管理局</w:t>
            </w:r>
          </w:p>
        </w:tc>
        <w:tc>
          <w:tcPr>
            <w:tcW w:w="115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财政归口科室</w:t>
            </w:r>
          </w:p>
        </w:tc>
        <w:tc>
          <w:tcPr>
            <w:tcW w:w="13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004-经济建设科</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部门</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联系人</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黄典</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联系电话</w:t>
            </w:r>
          </w:p>
        </w:tc>
        <w:tc>
          <w:tcPr>
            <w:tcW w:w="2301"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13883919503</w:t>
            </w:r>
          </w:p>
        </w:tc>
      </w:tr>
      <w:tr>
        <w:trPr>
          <w:trHeight w:val="2282"/>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项目资金（万元）</w:t>
            </w:r>
          </w:p>
        </w:tc>
        <w:tc>
          <w:tcPr>
            <w:tcW w:w="1464" w:type="dxa"/>
            <w:gridSpan w:val="2"/>
            <w:vMerge w:val="restart"/>
            <w:tcBorders>
              <w:tl2br w:val="nil"/>
              <w:tr2bl w:val="nil"/>
            </w:tcBorders>
            <w:noWrap/>
            <w:vAlign w:val="center"/>
          </w:tcPr>
          <w:p>
            <w:pPr>
              <w:keepNext w:val="0"/>
              <w:keepLines w:val="0"/>
              <w:pageBreakBefore w:val="0"/>
              <w:widowControl w:val="0"/>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年度总金额</w:t>
            </w:r>
          </w:p>
        </w:tc>
        <w:tc>
          <w:tcPr>
            <w:tcW w:w="115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预算数</w:t>
            </w:r>
          </w:p>
        </w:tc>
        <w:tc>
          <w:tcPr>
            <w:tcW w:w="13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全年（调整）预算数</w:t>
            </w:r>
          </w:p>
        </w:tc>
        <w:tc>
          <w:tcPr>
            <w:tcW w:w="184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全年执行数</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15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19565</w:t>
            </w:r>
            <w:r>
              <w:rPr>
                <w:rFonts w:eastAsia="方正仿宋_GBK" w:cs="方正仿宋_GBK" w:hint="eastAsia"/>
                <w:color w:val="000000"/>
                <w:kern w:val="0"/>
                <w:sz w:val="24"/>
                <w:szCs w:val="24"/>
                <w:lang w:val="en-US" w:eastAsia="zh-CN"/>
              </w:rPr>
              <w:t>.</w:t>
            </w:r>
            <w:r>
              <w:rPr>
                <w:rFonts w:ascii="Times New Roman" w:eastAsia="方正仿宋_GBK" w:cs="方正仿宋_GBK" w:hAnsi="Times New Roman" w:hint="eastAsia"/>
                <w:color w:val="000000"/>
                <w:kern w:val="0"/>
                <w:sz w:val="24"/>
                <w:szCs w:val="24"/>
              </w:rPr>
              <w:t>89</w:t>
            </w:r>
          </w:p>
        </w:tc>
        <w:tc>
          <w:tcPr>
            <w:tcW w:w="13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19954.72</w:t>
            </w:r>
          </w:p>
        </w:tc>
        <w:tc>
          <w:tcPr>
            <w:tcW w:w="184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19954.72</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kern w:val="0"/>
                <w:sz w:val="24"/>
                <w:szCs w:val="24"/>
                <w:lang w:val="en-US" w:eastAsia="zh-CN"/>
              </w:rPr>
            </w:pPr>
            <w:r>
              <w:rPr>
                <w:rFonts w:eastAsia="方正仿宋_GBK" w:cs="方正仿宋_GBK" w:hint="eastAsia"/>
                <w:kern w:val="0"/>
                <w:sz w:val="24"/>
                <w:szCs w:val="24"/>
                <w:lang w:val="en-US" w:eastAsia="zh-CN"/>
              </w:rPr>
              <w:t>10</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w:t>
            </w: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财政拨款</w:t>
            </w:r>
          </w:p>
        </w:tc>
        <w:tc>
          <w:tcPr>
            <w:tcW w:w="115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19565</w:t>
            </w:r>
            <w:r>
              <w:rPr>
                <w:rFonts w:eastAsia="方正仿宋_GBK" w:cs="方正仿宋_GBK" w:hint="eastAsia"/>
                <w:color w:val="000000"/>
                <w:kern w:val="0"/>
                <w:sz w:val="24"/>
                <w:szCs w:val="24"/>
                <w:lang w:val="en-US" w:eastAsia="zh-CN"/>
              </w:rPr>
              <w:t>.</w:t>
            </w:r>
            <w:r>
              <w:rPr>
                <w:rFonts w:ascii="Times New Roman" w:eastAsia="方正仿宋_GBK" w:cs="方正仿宋_GBK" w:hAnsi="Times New Roman" w:hint="eastAsia"/>
                <w:color w:val="000000"/>
                <w:kern w:val="0"/>
                <w:sz w:val="24"/>
                <w:szCs w:val="24"/>
              </w:rPr>
              <w:t>89</w:t>
            </w:r>
          </w:p>
        </w:tc>
        <w:tc>
          <w:tcPr>
            <w:tcW w:w="13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19954.72</w:t>
            </w:r>
          </w:p>
        </w:tc>
        <w:tc>
          <w:tcPr>
            <w:tcW w:w="184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19954.72</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100</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kern w:val="0"/>
                <w:sz w:val="24"/>
                <w:szCs w:val="24"/>
                <w:lang w:val="en-US" w:eastAsia="zh-CN" w:bidi="ar-SA"/>
              </w:rPr>
            </w:pPr>
            <w:r>
              <w:rPr>
                <w:rFonts w:eastAsia="方正仿宋_GBK" w:cs="方正仿宋_GBK" w:hint="eastAsia"/>
                <w:kern w:val="0"/>
                <w:sz w:val="24"/>
                <w:szCs w:val="24"/>
                <w:lang w:val="en-US" w:eastAsia="zh-CN"/>
              </w:rPr>
              <w:t>10</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10</w:t>
            </w:r>
          </w:p>
        </w:tc>
      </w:tr>
      <w:tr>
        <w:trPr>
          <w:trHeight w:val="469"/>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当年绩效目标</w:t>
            </w:r>
          </w:p>
        </w:tc>
        <w:tc>
          <w:tcPr>
            <w:tcW w:w="3011"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年初绩效目标</w:t>
            </w:r>
          </w:p>
        </w:tc>
        <w:tc>
          <w:tcPr>
            <w:tcW w:w="2798"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全年（调整）绩效目标</w:t>
            </w:r>
          </w:p>
        </w:tc>
        <w:tc>
          <w:tcPr>
            <w:tcW w:w="34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全年目标实际完成情况</w:t>
            </w:r>
          </w:p>
        </w:tc>
      </w:tr>
      <w:tr>
        <w:trPr>
          <w:trHeight w:val="1120"/>
        </w:trPr>
        <w:tc>
          <w:tcPr>
            <w:tcW w:w="847" w:type="dxa"/>
            <w:vMerge/>
            <w:tcBorders>
              <w:tl2br w:val="nil"/>
              <w:tr2bl w:val="nil"/>
            </w:tcBorders>
            <w:noWrap/>
            <w:vAlign w:val="center"/>
          </w:tcPr>
          <w:p/>
        </w:tc>
        <w:tc>
          <w:tcPr>
            <w:tcW w:w="3011"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以</w:t>
            </w:r>
            <w:r>
              <w:rPr>
                <w:rFonts w:ascii="Times New Roman" w:eastAsia="方正仿宋_GBK" w:cs="方正仿宋_GBK" w:hAnsi="Times New Roman"/>
                <w:color w:val="000000"/>
                <w:kern w:val="0"/>
                <w:sz w:val="24"/>
                <w:szCs w:val="24"/>
              </w:rPr>
              <w:t>全面贯彻落实党的二十大精神</w:t>
            </w:r>
            <w:r>
              <w:rPr>
                <w:rFonts w:ascii="Times New Roman" w:eastAsia="方正仿宋_GBK" w:cs="方正仿宋_GBK" w:hAnsi="Times New Roman" w:hint="eastAsia"/>
                <w:color w:val="000000"/>
                <w:kern w:val="0"/>
                <w:sz w:val="24"/>
                <w:szCs w:val="24"/>
              </w:rPr>
              <w:t>为工作重点，以创文工作为契机，全力提升城市综合管理效能。一是聚焦城市环境提升，实施好坡坎崖绿化美化，打造好山城绿道、山城花境，推动口袋公园公园建设。二是聚焦设施更新提升，推动环卫、供水等基础设施提级扩能，加快路、桥、隧等公用设施提档升级，促进公厕、停车等服务设施提质增量，持续完善城市功能。三是聚焦民生福祉保障，持续策划一批普惠性、基础性、兜底性的民生项目，“解决好人民群众急难愁盼问题”，保障城市安全运行。四是聚焦城市基层治理，加速推进城市管理“智”治体系建设，构建共商共建共管共享的城市治理新格局，不断推进城市治理体系和治理能力现代化。</w:t>
            </w:r>
          </w:p>
        </w:tc>
        <w:tc>
          <w:tcPr>
            <w:tcW w:w="2798"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 xml:space="preserve"> 以</w:t>
            </w:r>
            <w:r>
              <w:rPr>
                <w:rFonts w:ascii="Times New Roman" w:eastAsia="方正仿宋_GBK" w:cs="方正仿宋_GBK" w:hAnsi="Times New Roman"/>
                <w:color w:val="000000"/>
                <w:kern w:val="0"/>
                <w:sz w:val="24"/>
                <w:szCs w:val="24"/>
              </w:rPr>
              <w:t>全面贯彻落实党的二十大精神</w:t>
            </w:r>
            <w:r>
              <w:rPr>
                <w:rFonts w:ascii="Times New Roman" w:eastAsia="方正仿宋_GBK" w:cs="方正仿宋_GBK" w:hAnsi="Times New Roman" w:hint="eastAsia"/>
                <w:color w:val="000000"/>
                <w:kern w:val="0"/>
                <w:sz w:val="24"/>
                <w:szCs w:val="24"/>
              </w:rPr>
              <w:t>为工作重点，以创文工作为契机，全力提升城市综合管理效能。一是聚焦城市环境提升，实施好坡坎崖绿化美化，打造好山城绿道、山城花境，推动口袋公园公园建设。二是聚焦设施更新提升，推动环卫、供水等基础设施提级扩能，加快路、桥、隧等公用设施提档升级，促进公厕、停车等服务设施提质增量，持续完善城市功能。三是聚焦民生福祉保障，持续策划一批普惠性、基础性、兜底性的民生项目，“解决好人民群众急难愁盼问题”，保障城市安全运行。四是聚焦城市基层治理，加速推进城市管理“智”治体系建设，构建共商共建共管共享的城市治理新格局，不断推进城市治理体系和治理能力现代化。</w:t>
            </w:r>
          </w:p>
        </w:tc>
        <w:tc>
          <w:tcPr>
            <w:tcW w:w="34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以</w:t>
            </w:r>
            <w:r>
              <w:rPr>
                <w:rFonts w:ascii="Times New Roman" w:eastAsia="方正仿宋_GBK" w:cs="方正仿宋_GBK" w:hAnsi="Times New Roman"/>
                <w:color w:val="000000"/>
                <w:kern w:val="0"/>
                <w:sz w:val="24"/>
                <w:szCs w:val="24"/>
              </w:rPr>
              <w:t>全面贯彻落实党的二十大精神</w:t>
            </w:r>
            <w:bookmarkStart w:id="0" w:name="_GoBack"/>
            <w:bookmarkEnd w:id="0"/>
            <w:r>
              <w:rPr>
                <w:rFonts w:ascii="Times New Roman" w:eastAsia="方正仿宋_GBK" w:cs="方正仿宋_GBK" w:hAnsi="Times New Roman" w:hint="eastAsia"/>
                <w:color w:val="000000"/>
                <w:kern w:val="0"/>
                <w:sz w:val="24"/>
                <w:szCs w:val="24"/>
              </w:rPr>
              <w:t>为工作重点，以创文工作为契机，全力提升城市综合管理效能。一是聚焦城市环境提升，实施好坡坎崖绿化美化，打造好山城绿道、山城花境，推动口袋公园公园建设。二是聚焦设施更新提升，推动环卫、供水等基础设施提级扩能，加快路、桥、隧等公用设施提档升级，促进公厕、停车等服务设施提质增量，持续完善城市功能。三是聚焦民生福祉保障，持续策划一批普惠性、基础性、兜底性的民生项目，“解决好人民群众急难愁盼问题”，保障城市安全运行。四是聚焦城市基层治理，加速推进城市管理“智”治体系建设，构建共商共建共管共享的城市治理新格局，不断推进城市治理体系和治理能力现代化。已完成预期目标。</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绩效指标</w:t>
            </w: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单位</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性质</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值</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完成值</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偏离度（%）</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公厕管理维护数量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eastAsia="方正仿宋_GBK" w:cs="方正仿宋_GBK" w:hint="eastAsia"/>
                <w:color w:val="000000"/>
                <w:kern w:val="0"/>
                <w:sz w:val="24"/>
                <w:szCs w:val="24"/>
                <w:lang w:val="en-US" w:eastAsia="zh-CN"/>
              </w:rPr>
            </w:pPr>
            <w:r>
              <w:rPr>
                <w:rFonts w:eastAsia="方正仿宋_GBK" w:cs="方正仿宋_GBK" w:hint="eastAsia"/>
                <w:color w:val="000000"/>
                <w:kern w:val="0"/>
                <w:sz w:val="24"/>
                <w:szCs w:val="24"/>
                <w:lang w:val="en-US" w:eastAsia="zh-CN"/>
              </w:rPr>
              <w:t>座</w:t>
            </w:r>
          </w:p>
          <w:p>
            <w:pPr>
              <w:keepNext w:val="0"/>
              <w:keepLines w:val="0"/>
              <w:pageBreakBefore w:val="0"/>
              <w:widowControl/>
              <w:kinsoku/>
              <w:wordWrap/>
              <w:overflowPunct/>
              <w:topLinePunct w:val="0"/>
              <w:autoSpaceDN/>
              <w:bidi w:val="0"/>
              <w:snapToGrid/>
              <w:spacing w:line="579" w:lineRule="exact"/>
              <w:textAlignment w:val="auto"/>
              <w:rPr>
                <w:rFonts w:eastAsia="方正仿宋_GBK" w:cs="方正仿宋_GBK" w:hint="eastAsia"/>
                <w:color w:val="000000"/>
                <w:kern w:val="0"/>
                <w:sz w:val="24"/>
                <w:szCs w:val="24"/>
                <w:lang w:val="en-US" w:eastAsia="zh-CN"/>
              </w:rPr>
            </w:pP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21</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21</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绿化管护面积</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平方米</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1491042</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1491042</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全年生活及餐厨垃圾收运处置量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吨</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400000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437580.58</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9.4</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市政设施管护面积</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平方米</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4195300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4195300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维护路灯数量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盏</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24987</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24987</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行道树管护数量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株</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32904</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32904</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直管区域清扫保洁面积</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平方米</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977785.12</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977785.12</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部门决算公开情况</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定性</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以内容完整性、细化程度、及时性及真实性进行评价，存在一类问题扣2.5分，无问题得满分</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1</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日常亮灯率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eastAsia="方正仿宋_GBK" w:cs="方正仿宋_GBK" w:hint="eastAsia"/>
                <w:color w:val="000000"/>
                <w:kern w:val="0"/>
                <w:sz w:val="24"/>
                <w:szCs w:val="24"/>
                <w:lang w:val="en-US" w:eastAsia="zh-CN"/>
              </w:rPr>
            </w:pPr>
            <w:r>
              <w:rPr>
                <w:rFonts w:eastAsia="方正仿宋_GBK" w:cs="方正仿宋_GBK" w:hint="eastAsia"/>
                <w:color w:val="000000"/>
                <w:kern w:val="0"/>
                <w:sz w:val="24"/>
                <w:szCs w:val="24"/>
                <w:lang w:val="en-US" w:eastAsia="zh-CN"/>
              </w:rPr>
              <w:t>98</w:t>
            </w:r>
          </w:p>
          <w:p>
            <w:pPr>
              <w:keepNext w:val="0"/>
              <w:keepLines w:val="0"/>
              <w:pageBreakBefore w:val="0"/>
              <w:widowControl/>
              <w:kinsoku/>
              <w:wordWrap/>
              <w:overflowPunct/>
              <w:topLinePunct w:val="0"/>
              <w:autoSpaceDN/>
              <w:bidi w:val="0"/>
              <w:snapToGrid/>
              <w:spacing w:line="579" w:lineRule="exact"/>
              <w:textAlignment w:val="auto"/>
              <w:rPr>
                <w:rFonts w:eastAsia="方正仿宋_GBK" w:cs="方正仿宋_GBK"/>
                <w:color w:val="000000"/>
                <w:kern w:val="0"/>
                <w:sz w:val="24"/>
                <w:szCs w:val="24"/>
                <w:lang w:val="en-US" w:eastAsia="zh-CN"/>
              </w:rPr>
            </w:pP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2.04</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渗滤液处理出水达标率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市政设施完好率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bidi="ar-SA"/>
              </w:rPr>
            </w:pPr>
            <w:r>
              <w:rPr>
                <w:rFonts w:eastAsia="方正仿宋_GBK" w:cs="方正仿宋_GBK" w:hint="eastAsia"/>
                <w:color w:val="000000"/>
                <w:kern w:val="0"/>
                <w:sz w:val="24"/>
                <w:szCs w:val="24"/>
                <w:lang w:val="en-US" w:eastAsia="zh-CN" w:bidi="ar-SA"/>
              </w:rPr>
              <w:t>90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90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清扫保洁及时率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天</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1</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1</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管护优良率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bidi="ar-SA"/>
              </w:rPr>
            </w:pPr>
            <w:r>
              <w:rPr>
                <w:rFonts w:eastAsia="方正仿宋_GBK" w:cs="方正仿宋_GBK" w:hint="eastAsia"/>
                <w:color w:val="000000"/>
                <w:kern w:val="0"/>
                <w:sz w:val="24"/>
                <w:szCs w:val="24"/>
                <w:lang w:val="en-US" w:eastAsia="zh-CN" w:bidi="ar-SA"/>
              </w:rPr>
              <w:t>90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11.11</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垃圾分类群众知晓率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bidi="ar-SA"/>
              </w:rPr>
            </w:pPr>
            <w:r>
              <w:rPr>
                <w:rFonts w:eastAsia="方正仿宋_GBK" w:cs="方正仿宋_GBK" w:hint="eastAsia"/>
                <w:color w:val="000000"/>
                <w:kern w:val="0"/>
                <w:sz w:val="24"/>
                <w:szCs w:val="24"/>
                <w:lang w:val="en-US" w:eastAsia="zh-CN" w:bidi="ar-SA"/>
              </w:rPr>
              <w:t>90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90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公众满意度</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bidi="ar-SA"/>
              </w:rPr>
            </w:pPr>
            <w:r>
              <w:rPr>
                <w:rFonts w:eastAsia="方正仿宋_GBK" w:cs="方正仿宋_GBK" w:hint="eastAsia"/>
                <w:color w:val="000000"/>
                <w:kern w:val="0"/>
                <w:sz w:val="24"/>
                <w:szCs w:val="24"/>
                <w:lang w:val="en-US" w:eastAsia="zh-CN" w:bidi="ar-SA"/>
              </w:rPr>
              <w:t>90</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90</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三公经费控制情况</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万元</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bidi="ar-SA"/>
              </w:rPr>
            </w:pPr>
            <w:r>
              <w:rPr>
                <w:rFonts w:eastAsia="方正仿宋_GBK" w:cs="方正仿宋_GBK" w:hint="eastAsia"/>
                <w:color w:val="000000"/>
                <w:kern w:val="0"/>
                <w:sz w:val="24"/>
                <w:szCs w:val="24"/>
                <w:lang w:val="en-US" w:eastAsia="zh-CN" w:bidi="ar-SA"/>
              </w:rPr>
              <w:t>45.14</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34.69</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23.15</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采用保障金方式的政府采购占比情况</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eastAsia="方正仿宋_GBK" w:cs="方正仿宋_GBK" w:hint="eastAsia"/>
                <w:color w:val="000000"/>
                <w:kern w:val="0"/>
                <w:sz w:val="24"/>
                <w:szCs w:val="24"/>
                <w:lang w:val="en-US" w:eastAsia="zh-CN"/>
              </w:rPr>
              <w:t>定性</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无保障金采购的，得满分；保障金采购占比≤10%的，按该项指标分值的90%计算得分；占比&gt;10%，不得分。</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1</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0</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5</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聘用人员控制情况</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eastAsia="方正仿宋_GBK" w:cs="方正仿宋_GBK" w:hint="eastAsia"/>
                <w:color w:val="000000"/>
                <w:kern w:val="0"/>
                <w:sz w:val="24"/>
                <w:szCs w:val="24"/>
                <w:lang w:val="en-US" w:eastAsia="zh-CN"/>
              </w:rPr>
              <w:t>人</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bidi="ar-SA"/>
              </w:rPr>
            </w:pPr>
            <w:r>
              <w:rPr>
                <w:rFonts w:ascii="Times New Roman" w:eastAsia="方正仿宋_GBK" w:cs="方正仿宋_GBK" w:hAnsi="Times New Roman" w:hint="eastAsia"/>
                <w:color w:val="000000"/>
                <w:kern w:val="0"/>
                <w:sz w:val="24"/>
                <w:szCs w:val="24"/>
              </w:rPr>
              <w:t>≤</w:t>
            </w:r>
          </w:p>
        </w:tc>
        <w:tc>
          <w:tcPr>
            <w:tcW w:w="8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161</w:t>
            </w:r>
          </w:p>
        </w:tc>
        <w:tc>
          <w:tcPr>
            <w:tcW w:w="953"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104</w:t>
            </w:r>
          </w:p>
        </w:tc>
        <w:tc>
          <w:tcPr>
            <w:tcW w:w="102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35.4</w:t>
            </w:r>
          </w:p>
        </w:tc>
        <w:tc>
          <w:tcPr>
            <w:tcW w:w="81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100</w:t>
            </w:r>
          </w:p>
        </w:tc>
        <w:tc>
          <w:tcPr>
            <w:tcW w:w="117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w:t>
            </w:r>
          </w:p>
        </w:tc>
        <w:tc>
          <w:tcPr>
            <w:tcW w:w="1465"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eastAsia="方正仿宋_GBK" w:cs="方正仿宋_GBK" w:hint="eastAsia"/>
                <w:color w:val="000000"/>
                <w:kern w:val="0"/>
                <w:sz w:val="24"/>
                <w:szCs w:val="24"/>
                <w:lang w:val="en-US" w:eastAsia="zh-CN"/>
              </w:rPr>
              <w:t>10</w:t>
            </w:r>
          </w:p>
        </w:tc>
        <w:tc>
          <w:tcPr>
            <w:tcW w:w="83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我单位严格落实党政机关过紧日子苦日子要求，控制聘用人员数量在核定范围内，2024年12月底实有聘用人员104人。</w:t>
            </w:r>
          </w:p>
        </w:tc>
      </w:tr>
    </w:tbl>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both"/>
        <w:textAlignment w:val="auto"/>
        <w:rPr>
          <w:rFonts w:ascii="Times New Roman" w:eastAsia="方正仿宋_GBK" w:cs="方正仿宋_GBK" w:hAnsi="Times New Roman" w:hint="eastAsia"/>
          <w:color w:val="000000"/>
          <w:kern w:val="0"/>
          <w:sz w:val="36"/>
          <w:szCs w:val="36"/>
          <w:lang w:val="en-US" w:eastAsia="zh-CN"/>
        </w:rPr>
      </w:pP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Times New Roman" w:eastAsia="方正黑体_GBK" w:cs="方正黑体_GBK" w:hAnsi="Times New Roman" w:hint="eastAsia"/>
          <w:b w:val="0"/>
          <w:bCs w:val="0"/>
          <w:color w:val="000000"/>
          <w:kern w:val="0"/>
          <w:sz w:val="36"/>
          <w:szCs w:val="36"/>
        </w:rPr>
      </w:pPr>
      <w:r>
        <w:rPr>
          <w:rFonts w:ascii="Times New Roman" w:eastAsia="方正黑体_GBK" w:cs="方正黑体_GBK" w:hAnsi="Times New Roman" w:hint="eastAsia"/>
          <w:b w:val="0"/>
          <w:bCs w:val="0"/>
          <w:color w:val="000000"/>
          <w:kern w:val="0"/>
          <w:sz w:val="36"/>
          <w:szCs w:val="36"/>
          <w:lang w:val="en-US" w:eastAsia="zh-CN"/>
        </w:rPr>
        <w:t>2024年度项目</w:t>
      </w:r>
      <w:r>
        <w:rPr>
          <w:rFonts w:ascii="Times New Roman" w:eastAsia="方正黑体_GBK" w:cs="方正黑体_GBK" w:hAnsi="Times New Roman" w:hint="eastAsia"/>
          <w:b w:val="0"/>
          <w:bCs w:val="0"/>
          <w:color w:val="000000"/>
          <w:kern w:val="0"/>
          <w:sz w:val="36"/>
          <w:szCs w:val="36"/>
        </w:rPr>
        <w:t>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3701" w:type="dxa"/>
            <w:gridSpan w:val="6"/>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全区生活及餐厨垃圾收运处置</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4348"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100.00</w:t>
            </w:r>
          </w:p>
        </w:tc>
      </w:tr>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lang w:val="en-US" w:eastAsia="zh-CN"/>
              </w:rPr>
              <w:t>项目</w:t>
            </w:r>
            <w:r>
              <w:rPr>
                <w:rFonts w:ascii="Times New Roman" w:eastAsia="方正仿宋_GBK" w:cs="方正仿宋_GBK" w:hAnsi="Times New Roman" w:hint="eastAsia"/>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部门</w:t>
            </w: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403-重庆市江津区城市管理局</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财政归口科室</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004-经济建设科</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联系人</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刘栩彤</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联系电话</w:t>
            </w:r>
          </w:p>
        </w:tc>
        <w:tc>
          <w:tcPr>
            <w:tcW w:w="21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18223174803</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项目资金（万元）</w:t>
            </w:r>
          </w:p>
        </w:tc>
        <w:tc>
          <w:tcPr>
            <w:tcW w:w="1464" w:type="dxa"/>
            <w:gridSpan w:val="2"/>
            <w:vMerge w:val="restart"/>
            <w:tcBorders>
              <w:tl2br w:val="nil"/>
              <w:tr2bl w:val="nil"/>
            </w:tcBorders>
            <w:noWrap/>
            <w:vAlign w:val="center"/>
          </w:tcPr>
          <w:p>
            <w:pPr>
              <w:keepNext w:val="0"/>
              <w:keepLines w:val="0"/>
              <w:pageBreakBefore w:val="0"/>
              <w:widowControl w:val="0"/>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年度总金额</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预算数</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全年（调整）预算数</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全年执行数</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kern w:val="0"/>
                <w:sz w:val="24"/>
                <w:szCs w:val="24"/>
                <w:lang w:val="en-US" w:eastAsia="zh-CN"/>
              </w:rPr>
            </w:pPr>
            <w:r>
              <w:rPr>
                <w:rFonts w:ascii="Times New Roman" w:eastAsia="方正仿宋_GBK" w:cs="方正仿宋_GBK" w:hAnsi="Times New Roman" w:hint="eastAsia"/>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财政拨款</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r>
      <w:tr>
        <w:trPr>
          <w:trHeight w:val="469"/>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当年绩效目标</w:t>
            </w: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年初绩效目标</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全年（调整）绩效目标</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全年目标实际完成情况</w:t>
            </w:r>
          </w:p>
        </w:tc>
      </w:tr>
      <w:tr>
        <w:trPr>
          <w:trHeight w:val="1055"/>
        </w:trPr>
        <w:tc>
          <w:tcPr>
            <w:tcW w:w="847" w:type="dxa"/>
            <w:vMerge/>
            <w:tcBorders>
              <w:tl2br w:val="nil"/>
              <w:tr2bl w:val="nil"/>
            </w:tcBorders>
            <w:noWrap/>
            <w:vAlign w:val="center"/>
          </w:tcP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江津区全域生活垃圾无害化焚烧处置。</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江津区全域生活垃圾无害化焚烧处置。</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了江津区全域生活垃圾无害化焚烧处置。</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绩效指标</w:t>
            </w: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单位</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性质</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值</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完成值</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偏离度（%）</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全年收运生活垃圾量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万吨</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40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40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设施完好率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收运及时率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天</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服务覆盖范围</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个</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覆盖镇街个数</w:t>
            </w:r>
          </w:p>
        </w:tc>
      </w:tr>
      <w:tr>
        <w:trPr>
          <w:trHeight w:val="408"/>
        </w:trPr>
        <w:tc>
          <w:tcPr>
            <w:tcW w:w="847" w:type="dxa"/>
            <w:vMerge/>
            <w:tcBorders>
              <w:tl2br w:val="nil"/>
              <w:tr2bl w:val="nil"/>
            </w:tcBorders>
            <w:noWrap/>
            <w:vAlign w:val="center"/>
          </w:tcPr>
          <w:p/>
        </w:tc>
        <w:tc>
          <w:tcPr>
            <w:tcW w:w="756" w:type="dxa"/>
            <w:tcBorders>
              <w:tl2br w:val="nil"/>
              <w:tr2bl w:val="nil"/>
            </w:tcBorders>
            <w:noWrap/>
          </w:tcPr>
          <w:p>
            <w:pPr>
              <w:keepNext w:val="0"/>
              <w:keepLines w:val="0"/>
              <w:pageBreakBefore w:val="0"/>
              <w:widowControl/>
              <w:kinsoku/>
              <w:wordWrap/>
              <w:overflowPunct/>
              <w:topLinePunct w:val="0"/>
              <w:autoSpaceDN/>
              <w:bidi w:val="0"/>
              <w:snapToGrid/>
              <w:spacing w:line="579" w:lineRule="exact"/>
              <w:jc w:val="both"/>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受益对象满意度</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bl>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Times New Roman" w:eastAsia="方正黑体_GBK" w:cs="方正黑体_GBK" w:hAnsi="Times New Roman" w:hint="eastAsia"/>
          <w:b w:val="0"/>
          <w:bCs w:val="0"/>
          <w:color w:val="000000"/>
          <w:kern w:val="0"/>
          <w:sz w:val="36"/>
          <w:szCs w:val="36"/>
        </w:rPr>
      </w:pPr>
    </w:p>
    <w:p>
      <w:pPr>
        <w:pStyle w:val="20"/>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val="0"/>
          <w:kern w:val="0"/>
          <w:sz w:val="32"/>
          <w:szCs w:val="32"/>
        </w:rPr>
      </w:pPr>
      <w:r>
        <w:rPr>
          <w:rFonts w:ascii="Times New Roman" w:eastAsia="方正仿宋_GBK" w:cs="方正仿宋_GBK" w:hAnsi="Times New Roman" w:hint="eastAsia"/>
          <w:b/>
          <w:bCs w:val="0"/>
          <w:kern w:val="0"/>
          <w:sz w:val="32"/>
          <w:szCs w:val="32"/>
        </w:rPr>
        <w:t>绩效自评报告或案例</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auto"/>
          <w:kern w:val="0"/>
          <w:sz w:val="32"/>
          <w:szCs w:val="32"/>
          <w:lang w:val="en-US" w:eastAsia="zh-CN"/>
        </w:rPr>
        <w:t>本单位无此事项。</w:t>
      </w:r>
    </w:p>
    <w:p>
      <w:pPr>
        <w:pStyle w:val="20"/>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color w:val="000000"/>
          <w:kern w:val="0"/>
          <w:sz w:val="32"/>
          <w:szCs w:val="32"/>
        </w:rPr>
      </w:pPr>
      <w:r>
        <w:rPr>
          <w:rFonts w:ascii="Times New Roman" w:eastAsia="方正仿宋_GBK" w:cs="方正仿宋_GBK" w:hAnsi="Times New Roman" w:hint="eastAsia"/>
          <w:b/>
          <w:bCs/>
          <w:color w:val="000000"/>
          <w:kern w:val="0"/>
          <w:sz w:val="32"/>
          <w:szCs w:val="32"/>
        </w:rPr>
        <w:t>关于绩效自评结果的说明</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auto"/>
          <w:kern w:val="0"/>
          <w:sz w:val="32"/>
          <w:szCs w:val="32"/>
          <w:lang w:val="en-US" w:eastAsia="zh-CN"/>
        </w:rPr>
        <w:t>本单位无此事项。</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1"/>
        <w:rPr>
          <w:rFonts w:ascii="Times New Roman" w:eastAsia="方正楷体_GBK" w:cs="方正楷体_GBK" w:hAnsi="Times New Roman" w:hint="eastAsia"/>
          <w:color w:val="333333"/>
          <w:sz w:val="32"/>
          <w:szCs w:val="32"/>
        </w:rPr>
      </w:pPr>
      <w:r>
        <w:rPr>
          <w:rFonts w:ascii="Times New Roman" w:eastAsia="方正楷体_GBK" w:cs="方正楷体_GBK" w:hAnsi="Times New Roman" w:hint="eastAsia"/>
          <w:color w:val="333333"/>
          <w:sz w:val="32"/>
          <w:szCs w:val="32"/>
        </w:rPr>
        <w:t>（三）重点绩效评价结果</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kern w:val="0"/>
          <w:sz w:val="32"/>
          <w:szCs w:val="32"/>
          <w:lang w:eastAsia="zh-CN"/>
        </w:rPr>
      </w:pPr>
      <w:r>
        <w:rPr>
          <w:rFonts w:ascii="Times New Roman" w:eastAsia="方正仿宋_GBK" w:cs="方正仿宋_GBK" w:hAnsi="Times New Roman" w:hint="eastAsia"/>
          <w:kern w:val="0"/>
          <w:sz w:val="32"/>
          <w:szCs w:val="32"/>
          <w:lang w:val="en-US" w:eastAsia="zh-CN"/>
        </w:rPr>
        <w:t>本单位无此事项。</w:t>
      </w:r>
    </w:p>
    <w:p>
      <w:pPr>
        <w:pStyle w:val="20"/>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left="0" w:firstLineChars="0" w:firstLine="640"/>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专业名词解释</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sz w:val="32"/>
          <w:szCs w:val="32"/>
          <w:lang w:val="en-US" w:eastAsia="zh-CN"/>
        </w:rPr>
      </w:pPr>
      <w:r>
        <w:rPr>
          <w:rFonts w:ascii="Times New Roman" w:eastAsia="方正仿宋_GBK" w:cs="方正仿宋_GBK" w:hAnsi="Times New Roman" w:hint="eastAsia"/>
          <w:sz w:val="32"/>
          <w:szCs w:val="32"/>
        </w:rPr>
        <w:t>部门应根据实际情况对专业名词进行解释，不得遗漏。</w:t>
      </w:r>
      <w:r>
        <w:rPr>
          <w:rFonts w:ascii="Times New Roman" w:eastAsia="方正仿宋_GBK" w:cs="方正仿宋_GBK" w:hAnsi="Times New Roman" w:hint="eastAsia"/>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三</w:t>
      </w:r>
      <w:r>
        <w:rPr>
          <w:rFonts w:ascii="Times New Roman" w:eastAsia="方正仿宋_GBK" w:cs="方正仿宋_GBK" w:hAnsi="Times New Roman" w:hint="eastAsia"/>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四</w:t>
      </w:r>
      <w:r>
        <w:rPr>
          <w:rFonts w:ascii="Times New Roman" w:eastAsia="方正仿宋_GBK" w:cs="方正仿宋_GBK" w:hAnsi="Times New Roman" w:hint="eastAsia"/>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五</w:t>
      </w:r>
      <w:r>
        <w:rPr>
          <w:rFonts w:ascii="Times New Roman" w:eastAsia="方正仿宋_GBK" w:cs="方正仿宋_GBK" w:hAnsi="Times New Roman" w:hint="eastAsia"/>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六</w:t>
      </w:r>
      <w:r>
        <w:rPr>
          <w:rFonts w:ascii="Times New Roman" w:eastAsia="方正仿宋_GBK" w:cs="方正仿宋_GBK" w:hAnsi="Times New Roman" w:hint="eastAsia"/>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七</w:t>
      </w:r>
      <w:r>
        <w:rPr>
          <w:rFonts w:ascii="Times New Roman" w:eastAsia="方正仿宋_GBK" w:cs="方正仿宋_GBK" w:hAnsi="Times New Roman" w:hint="eastAsia"/>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八</w:t>
      </w:r>
      <w:r>
        <w:rPr>
          <w:rFonts w:ascii="Times New Roman" w:eastAsia="方正仿宋_GBK" w:cs="方正仿宋_GBK" w:hAnsi="Times New Roman"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九</w:t>
      </w:r>
      <w:r>
        <w:rPr>
          <w:rFonts w:ascii="Times New Roman" w:eastAsia="方正仿宋_GBK" w:cs="方正仿宋_GBK" w:hAnsi="Times New Roman" w:hint="eastAsia"/>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一</w:t>
      </w:r>
      <w:r>
        <w:rPr>
          <w:rFonts w:ascii="Times New Roman" w:eastAsia="方正仿宋_GBK" w:cs="方正仿宋_GBK" w:hAnsi="Times New Roman"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二</w:t>
      </w:r>
      <w:r>
        <w:rPr>
          <w:rFonts w:ascii="Times New Roman" w:eastAsia="方正仿宋_GBK" w:cs="方正仿宋_GBK" w:hAnsi="Times New Roman" w:hint="eastAsia"/>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三</w:t>
      </w:r>
      <w:r>
        <w:rPr>
          <w:rFonts w:ascii="Times New Roman" w:eastAsia="方正仿宋_GBK" w:cs="方正仿宋_GBK" w:hAnsi="Times New Roman" w:hint="eastAsia"/>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四</w:t>
      </w:r>
      <w:r>
        <w:rPr>
          <w:rFonts w:ascii="Times New Roman" w:eastAsia="方正仿宋_GBK" w:cs="方正仿宋_GBK" w:hAnsi="Times New Roman" w:hint="eastAsia"/>
          <w:sz w:val="32"/>
          <w:szCs w:val="32"/>
        </w:rPr>
        <w:t>）对个人和家庭的补助（支出经济分类科目类级）：反映用于对个人和家庭的补助支出。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五</w:t>
      </w:r>
      <w:r>
        <w:rPr>
          <w:rFonts w:ascii="Times New Roman" w:eastAsia="方正仿宋_GBK" w:cs="方正仿宋_GBK" w:hAnsi="Times New Roman" w:hint="eastAsia"/>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七、决算公开联系方式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本单位决算公开信息反馈和联系方式：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Times New Roman" w:eastAsia="方正仿宋_GBK" w:cs="方正仿宋_GBK" w:hAnsi="Times New Roman" w:hint="eastAsia"/>
          <w:sz w:val="32"/>
          <w:szCs w:val="32"/>
          <w:lang w:val="en-US"/>
        </w:rPr>
      </w:pPr>
      <w:r>
        <w:rPr>
          <w:rFonts w:ascii="Times New Roman" w:eastAsia="方正仿宋_GBK" w:cs="方正仿宋_GBK" w:hAnsi="Times New Roman" w:hint="eastAsia"/>
          <w:sz w:val="32"/>
          <w:szCs w:val="32"/>
          <w:lang w:val="en-US" w:eastAsia="zh-CN"/>
        </w:rPr>
        <w:t>联系人：</w:t>
      </w:r>
      <w:r>
        <w:rPr>
          <w:rFonts w:eastAsia="方正仿宋_GBK" w:cs="方正仿宋_GBK" w:hint="eastAsia"/>
          <w:sz w:val="32"/>
          <w:szCs w:val="32"/>
          <w:lang w:val="en-US" w:eastAsia="zh-CN"/>
        </w:rPr>
        <w:t>黄典</w:t>
      </w:r>
      <w:r>
        <w:rPr>
          <w:rFonts w:ascii="Times New Roman" w:eastAsia="方正仿宋_GBK" w:cs="方正仿宋_GBK" w:hAnsi="Times New Roman" w:hint="eastAsia"/>
          <w:sz w:val="32"/>
          <w:szCs w:val="32"/>
        </w:rPr>
        <w:t xml:space="preserve">   </w:t>
      </w:r>
      <w:r>
        <w:rPr>
          <w:rFonts w:eastAsia="方正仿宋_GBK" w:cs="方正仿宋_GBK" w:hint="eastAsia"/>
          <w:sz w:val="32"/>
          <w:szCs w:val="32"/>
          <w:lang w:val="en-US" w:eastAsia="zh-CN"/>
        </w:rPr>
        <w:t xml:space="preserve">  </w:t>
      </w:r>
      <w:r>
        <w:rPr>
          <w:rFonts w:ascii="Times New Roman" w:eastAsia="方正仿宋_GBK" w:cs="方正仿宋_GBK" w:hAnsi="Times New Roman" w:hint="eastAsia"/>
          <w:sz w:val="32"/>
          <w:szCs w:val="32"/>
          <w:lang w:val="en-US" w:eastAsia="zh-CN"/>
        </w:rPr>
        <w:t>联系电话：</w:t>
      </w:r>
      <w:r>
        <w:rPr>
          <w:rFonts w:ascii="Times New Roman" w:cs="方正仿宋_GBK" w:hAnsi="Times New Roman" w:hint="eastAsia"/>
          <w:sz w:val="32"/>
          <w:szCs w:val="32"/>
        </w:rPr>
        <w:t>023-47529909</w:t>
      </w:r>
    </w:p>
    <w:sectPr>
      <w:footerReference w:type="default" r:id="rId2"/>
      <w:footerReference w:type="even" r:id="rId3"/>
      <w:pgSz w:w="11906" w:h="16838"/>
      <w:pgMar w:top="2098" w:right="1474" w:bottom="198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val="0"/>
  <w:bordersDoNotSurroundFooter w:val="0"/>
  <w:defaultTabStop w:val="420"/>
  <w:evenAndOddHeaders/>
  <w:drawingGridHorizontalSpacing w:val="2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ind w:left="0" w:right="0"/>
      <w:jc w:val="left"/>
    </w:pPr>
    <w:rPr>
      <w:kern w:val="0"/>
      <w:sz w:val="24"/>
      <w:lang w:val="en-US" w:eastAsia="zh-CN"/>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ind w:left="0" w:right="0"/>
      <w:jc w:val="left"/>
    </w:pPr>
    <w:rPr>
      <w:rFonts w:ascii="宋体" w:eastAsia="宋体" w:cs="宋体"/>
      <w:kern w:val="0"/>
      <w:sz w:val="24"/>
      <w:szCs w:val="24"/>
      <w:lang w:val="en-US" w:eastAsia="zh-CN"/>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23</Pages>
  <Words>7897</Words>
  <Characters>8962</Characters>
  <Lines>881</Lines>
  <Paragraphs>436</Paragraphs>
  <CharactersWithSpaces>8980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5</cp:revision>
  <cp:lastPrinted>2023-08-10T09:16:00Z</cp:lastPrinted>
  <dcterms:created xsi:type="dcterms:W3CDTF">2021-07-06T14:32:00Z</dcterms:created>
  <dcterms:modified xsi:type="dcterms:W3CDTF">2025-08-22T07:12:43Z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C5C051BE58ED47B681D748640379E264</vt:lpwstr>
  </property>
</Properties>
</file>