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79" w:lineRule="exact"/>
        <w:jc w:val="center"/>
        <w:rPr>
          <w:rFonts w:ascii="宋体" w:eastAsia="方正仿宋_GBK" w:cs="方正仿宋_GBK" w:hAnsi="宋体"/>
          <w:sz w:val="44"/>
          <w:szCs w:val="44"/>
        </w:rPr>
      </w:pPr>
      <w:bookmarkStart w:id="0" w:name="_GoBack"/>
      <w:bookmarkEnd w:id="0"/>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重庆市江津区农业技术推广中心</w:t>
      </w: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2024年度决算公开说明</w:t>
      </w:r>
    </w:p>
    <w:p>
      <w:pPr>
        <w:spacing w:line="579" w:lineRule="exact"/>
        <w:ind w:firstLineChars="250" w:firstLine="1100"/>
        <w:rPr>
          <w:rFonts w:ascii="宋体" w:eastAsia="方正仿宋_GBK" w:cs="方正仿宋_GBK" w:hAnsi="宋体"/>
          <w:sz w:val="44"/>
          <w:szCs w:val="44"/>
        </w:rPr>
      </w:pP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一、单位基本情况</w:t>
      </w:r>
    </w:p>
    <w:p>
      <w:pPr>
        <w:spacing w:line="579" w:lineRule="exact"/>
        <w:ind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（一）职能职责</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负责粮油、土肥、植保、种子、农业机械化新品种、新技术的引进、试验、示范、推广和培训；负责土壤资源调查、耕地地力调查监测；负责农作物病虫害测报、防控和植物检疫；指导农业防灾减灾和镇街农技推广服务等。</w:t>
      </w:r>
    </w:p>
    <w:p>
      <w:pPr>
        <w:numPr>
          <w:ilvl w:val="0"/>
          <w:numId w:val="1"/>
        </w:numPr>
        <w:spacing w:line="579" w:lineRule="exact"/>
        <w:ind w:left="0"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机构设置</w:t>
      </w:r>
    </w:p>
    <w:p>
      <w:pPr>
        <w:spacing w:line="579" w:lineRule="exact"/>
        <w:ind w:firstLineChars="200" w:firstLine="640"/>
        <w:rPr>
          <w:rFonts w:ascii="宋体" w:eastAsia="方正仿宋_GBK" w:cs="方正仿宋_GBK" w:hAnsi="宋体"/>
          <w:kern w:val="0"/>
          <w:sz w:val="32"/>
          <w:szCs w:val="32"/>
        </w:rPr>
      </w:pPr>
      <w:r>
        <w:rPr>
          <w:rFonts w:ascii="宋体" w:eastAsia="方正仿宋_GBK" w:cs="方正仿宋_GBK" w:hAnsi="宋体" w:hint="eastAsia"/>
          <w:sz w:val="32"/>
          <w:szCs w:val="32"/>
        </w:rPr>
        <w:t>重庆市江津区农业技术推广中心是经区编委办批准设立的财政全额拨款事业单位，直属重庆市江津区农业农村委员会，截止2024年12月，编制人数36人，年末实有人数33人。</w:t>
      </w:r>
    </w:p>
    <w:p>
      <w:pPr>
        <w:numPr>
          <w:ilvl w:val="0"/>
          <w:numId w:val="2"/>
        </w:numPr>
        <w:spacing w:line="579" w:lineRule="exact"/>
        <w:ind w:left="0" w:firstLineChars="20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部门决算情况</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部门收支总体情况</w:t>
      </w:r>
    </w:p>
    <w:p>
      <w:pPr>
        <w:numPr>
          <w:ilvl w:val="0"/>
          <w:numId w:val="4"/>
        </w:numPr>
        <w:spacing w:line="579" w:lineRule="exact"/>
        <w:ind w:left="0" w:firstLineChars="200" w:firstLine="640"/>
        <w:rPr>
          <w:rFonts w:ascii="宋体" w:eastAsia="方正仿宋_GBK" w:cs="方正仿宋_GBK" w:hAnsi="宋体"/>
          <w:sz w:val="32"/>
          <w:szCs w:val="32"/>
        </w:rPr>
      </w:pPr>
      <w:r>
        <w:rPr>
          <w:rFonts w:ascii="宋体" w:eastAsia="方正仿宋_GBK" w:cs="方正仿宋_GBK" w:hAnsi="宋体" w:hint="eastAsia"/>
          <w:b/>
          <w:bCs/>
          <w:sz w:val="32"/>
          <w:szCs w:val="32"/>
        </w:rPr>
        <w:t>收入支出总体情况。</w:t>
      </w:r>
      <w:r>
        <w:rPr>
          <w:rFonts w:ascii="宋体" w:eastAsia="方正仿宋_GBK" w:cs="方正仿宋_GBK" w:hAnsi="宋体" w:hint="eastAsia"/>
          <w:sz w:val="32"/>
          <w:szCs w:val="32"/>
        </w:rPr>
        <w:t>2024年度收入总计1017.10万元，支出总计1017.10万元。收支较上年减少359.40万元，减少26.11%，主要原因为退休1人，项目经费减少等。</w:t>
      </w:r>
    </w:p>
    <w:p>
      <w:pPr>
        <w:numPr>
          <w:ilvl w:val="0"/>
          <w:numId w:val="4"/>
        </w:numPr>
        <w:spacing w:line="579" w:lineRule="exact"/>
        <w:ind w:left="0" w:firstLineChars="200" w:firstLine="640"/>
        <w:rPr>
          <w:rFonts w:ascii="宋体" w:eastAsia="方正仿宋_GBK" w:cs="方正仿宋_GBK" w:hAnsi="宋体"/>
          <w:sz w:val="32"/>
          <w:szCs w:val="32"/>
        </w:rPr>
      </w:pPr>
      <w:r>
        <w:rPr>
          <w:rFonts w:ascii="宋体" w:eastAsia="方正仿宋_GBK" w:cs="方正仿宋_GBK" w:hAnsi="宋体" w:hint="eastAsia"/>
          <w:b/>
          <w:bCs/>
          <w:sz w:val="32"/>
          <w:szCs w:val="32"/>
        </w:rPr>
        <w:t>收入情况。</w:t>
      </w:r>
      <w:r>
        <w:rPr>
          <w:rFonts w:ascii="宋体" w:eastAsia="方正仿宋_GBK" w:cs="方正仿宋_GBK" w:hAnsi="宋体" w:hint="eastAsia"/>
          <w:sz w:val="32"/>
          <w:szCs w:val="32"/>
        </w:rPr>
        <w:t>2024年度本年收入合计1017.10万元，较上年减少359.40万元，减少26.11%，主要原因为退休1人，项目经费减少等。其中：财政拨款收入1017.10万元，占比100%。</w:t>
      </w:r>
    </w:p>
    <w:p>
      <w:pPr>
        <w:numPr>
          <w:ilvl w:val="0"/>
          <w:numId w:val="4"/>
        </w:numPr>
        <w:spacing w:line="579" w:lineRule="exact"/>
        <w:ind w:left="0" w:firstLineChars="200" w:firstLine="640"/>
        <w:rPr>
          <w:rFonts w:ascii="宋体" w:eastAsia="方正仿宋_GBK" w:cs="方正仿宋_GBK" w:hAnsi="宋体"/>
          <w:sz w:val="32"/>
          <w:szCs w:val="32"/>
        </w:rPr>
      </w:pPr>
      <w:r>
        <w:rPr>
          <w:rFonts w:ascii="宋体" w:eastAsia="方正仿宋_GBK" w:cs="方正仿宋_GBK" w:hAnsi="宋体" w:hint="eastAsia"/>
          <w:b/>
          <w:bCs/>
          <w:sz w:val="32"/>
          <w:szCs w:val="32"/>
        </w:rPr>
        <w:t>支出情况。</w:t>
      </w:r>
      <w:r>
        <w:rPr>
          <w:rFonts w:ascii="宋体" w:eastAsia="方正仿宋_GBK" w:cs="方正仿宋_GBK" w:hAnsi="宋体" w:hint="eastAsia"/>
          <w:sz w:val="32"/>
          <w:szCs w:val="32"/>
        </w:rPr>
        <w:t>2024年度本年支出合计1017.10万元，较上年减少359.40万元，减少26.11%，主要原因为退休1人，项目经费减少等。其中：基本支出987.76万元，占比97.12%；项目支出29.34万元，占比2.88%。</w:t>
      </w:r>
    </w:p>
    <w:p>
      <w:pPr>
        <w:numPr>
          <w:ilvl w:val="0"/>
          <w:numId w:val="4"/>
        </w:numPr>
        <w:spacing w:line="579" w:lineRule="exact"/>
        <w:ind w:left="0" w:firstLineChars="200" w:firstLine="640"/>
        <w:rPr>
          <w:rFonts w:ascii="宋体" w:eastAsia="方正仿宋_GBK" w:cs="方正仿宋_GBK" w:hAnsi="宋体"/>
          <w:kern w:val="0"/>
          <w:sz w:val="32"/>
          <w:szCs w:val="32"/>
        </w:rPr>
      </w:pPr>
      <w:r>
        <w:rPr>
          <w:rFonts w:ascii="宋体" w:eastAsia="方正仿宋_GBK" w:cs="方正仿宋_GBK" w:hAnsi="宋体" w:hint="eastAsia"/>
          <w:b/>
          <w:bCs/>
          <w:sz w:val="32"/>
          <w:szCs w:val="32"/>
        </w:rPr>
        <w:t>结转结余情况。</w:t>
      </w:r>
      <w:r>
        <w:rPr>
          <w:rFonts w:ascii="宋体" w:eastAsia="方正仿宋_GBK" w:cs="方正仿宋_GBK" w:hAnsi="宋体" w:hint="eastAsia"/>
          <w:sz w:val="32"/>
          <w:szCs w:val="32"/>
        </w:rPr>
        <w:t>本部门2024年度无结转结余</w:t>
      </w:r>
      <w:r>
        <w:rPr>
          <w:rFonts w:ascii="宋体" w:eastAsia="方正仿宋_GBK" w:cs="方正仿宋_GBK" w:hAnsi="宋体" w:hint="eastAsia"/>
          <w:kern w:val="0"/>
          <w:sz w:val="32"/>
          <w:szCs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财政拨款收支总体情况</w:t>
      </w:r>
    </w:p>
    <w:p>
      <w:pPr>
        <w:spacing w:line="579" w:lineRule="exact"/>
        <w:ind w:firstLineChars="200" w:firstLine="640"/>
        <w:rPr>
          <w:rFonts w:ascii="宋体" w:eastAsia="方正仿宋_GBK" w:cs="方正仿宋_GBK" w:hAnsi="宋体"/>
          <w:sz w:val="32"/>
        </w:rPr>
      </w:pPr>
      <w:r>
        <w:rPr>
          <w:rFonts w:ascii="宋体" w:eastAsia="方正仿宋_GBK" w:cs="方正仿宋_GBK" w:hAnsi="宋体" w:hint="eastAsia"/>
          <w:sz w:val="32"/>
        </w:rPr>
        <w:t>2024年度财政拨款收入总计1017.10万元，支出总计1017.10万元。收支较上年减少359.40万元，</w:t>
      </w:r>
      <w:r>
        <w:rPr>
          <w:rFonts w:ascii="宋体" w:eastAsia="方正仿宋_GBK" w:cs="方正仿宋_GBK" w:hAnsi="宋体" w:hint="eastAsia"/>
          <w:sz w:val="32"/>
          <w:szCs w:val="32"/>
        </w:rPr>
        <w:t>减少26.11%，</w:t>
      </w:r>
      <w:r>
        <w:rPr>
          <w:rFonts w:ascii="宋体" w:eastAsia="方正仿宋_GBK" w:cs="方正仿宋_GBK" w:hAnsi="宋体" w:hint="eastAsia"/>
          <w:sz w:val="32"/>
        </w:rPr>
        <w:t>主要原因为退休1人，项目经费减少等。</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一般公共预算财政拨款收支总体情况</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收入情况。</w:t>
      </w:r>
      <w:r>
        <w:rPr>
          <w:rFonts w:ascii="宋体" w:eastAsia="方正仿宋_GBK" w:cs="方正仿宋_GBK" w:hAnsi="宋体" w:hint="eastAsia"/>
          <w:sz w:val="32"/>
        </w:rPr>
        <w:t>2024年度一般公共预算财政拨款收入1017.10万元，较上年决算数减少359.40万元，</w:t>
      </w:r>
      <w:r>
        <w:rPr>
          <w:rFonts w:ascii="宋体" w:eastAsia="方正仿宋_GBK" w:cs="方正仿宋_GBK" w:hAnsi="宋体" w:hint="eastAsia"/>
          <w:sz w:val="32"/>
          <w:szCs w:val="32"/>
        </w:rPr>
        <w:t>减少26.11%，</w:t>
      </w:r>
      <w:r>
        <w:rPr>
          <w:rFonts w:ascii="宋体" w:eastAsia="方正仿宋_GBK" w:cs="方正仿宋_GBK" w:hAnsi="宋体" w:hint="eastAsia"/>
          <w:sz w:val="32"/>
        </w:rPr>
        <w:t>主要原因为退休1人，项目经费减少等。较年初预算数增加15.9万元，增长1.59%，主要原因是社保调标等。</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支出情况。</w:t>
      </w:r>
      <w:r>
        <w:rPr>
          <w:rFonts w:ascii="宋体" w:eastAsia="方正仿宋_GBK" w:cs="方正仿宋_GBK" w:hAnsi="宋体" w:hint="eastAsia"/>
          <w:sz w:val="32"/>
        </w:rPr>
        <w:t>2024年度一般公共预算财政拨款支出1017.10万元，较上年决算数减少359.40万元，</w:t>
      </w:r>
      <w:r>
        <w:rPr>
          <w:rFonts w:ascii="宋体" w:eastAsia="方正仿宋_GBK" w:cs="方正仿宋_GBK" w:hAnsi="宋体" w:hint="eastAsia"/>
          <w:sz w:val="32"/>
          <w:szCs w:val="32"/>
        </w:rPr>
        <w:t>减少26.11%，</w:t>
      </w:r>
      <w:r>
        <w:rPr>
          <w:rFonts w:ascii="宋体" w:eastAsia="方正仿宋_GBK" w:cs="方正仿宋_GBK" w:hAnsi="宋体" w:hint="eastAsia"/>
          <w:sz w:val="32"/>
        </w:rPr>
        <w:t>主要原因为退休1人，项目经费减少等。较年初预算数增加15.9万元，增长1.59%，主要原因是社保调标等。</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结转结余情况。</w:t>
      </w:r>
      <w:r>
        <w:rPr>
          <w:rFonts w:ascii="宋体" w:eastAsia="方正仿宋_GBK" w:cs="方正仿宋_GBK" w:hAnsi="宋体" w:hint="eastAsia"/>
          <w:sz w:val="32"/>
          <w:szCs w:val="32"/>
        </w:rPr>
        <w:t>本部门2024年度无结转结余</w:t>
      </w:r>
      <w:r>
        <w:rPr>
          <w:rFonts w:ascii="方正仿宋_GBK" w:eastAsia="方正仿宋_GBK" w:cs="方正仿宋_GBK" w:hint="eastAsia"/>
          <w:sz w:val="32"/>
          <w:szCs w:val="32"/>
          <w:shd w:val="clear" w:color="auto" w:fill="FFFFFF"/>
        </w:rPr>
        <w:t>。</w:t>
      </w:r>
    </w:p>
    <w:p>
      <w:pPr>
        <w:pStyle w:val="18"/>
        <w:widowControl/>
        <w:numPr>
          <w:ilvl w:val="0"/>
          <w:numId w:val="5"/>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b/>
          <w:bCs/>
          <w:kern w:val="2"/>
          <w:sz w:val="32"/>
        </w:rPr>
        <w:t>比较情况。</w:t>
      </w:r>
      <w:r>
        <w:rPr>
          <w:rFonts w:ascii="宋体" w:eastAsia="方正仿宋_GBK" w:cs="方正仿宋_GBK" w:hAnsi="宋体" w:hint="eastAsia"/>
          <w:sz w:val="32"/>
        </w:rPr>
        <w:t>本部门2024年度一般公共预算财政拨款支出主要用于以下几个方面：</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教育支出4.82万元，占比0.47%。与年初预算数一致。</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（2）社会保障和就业支出221.78万元，占比21.80%。较年初预算数增加56.61万元，增长34.27%，主要原因是社保基数调标。</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（3）卫生健康支出53.77万元，占比5.29%。与年初预算一致。</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sz w:val="32"/>
        </w:rPr>
        <w:t>（4）</w:t>
      </w:r>
      <w:r>
        <w:rPr>
          <w:rFonts w:ascii="宋体" w:eastAsia="方正仿宋_GBK" w:cs="方正仿宋_GBK" w:hAnsi="宋体" w:hint="eastAsia"/>
          <w:kern w:val="2"/>
          <w:sz w:val="32"/>
        </w:rPr>
        <w:t>农林水支出698.20万元，占比68.65%。较年初预算数减少40.71万元，减少5.51%，主要原因是退休1人，人员经费减少等。</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sz w:val="32"/>
        </w:rPr>
        <w:t>（5）</w:t>
      </w:r>
      <w:r>
        <w:rPr>
          <w:rFonts w:ascii="宋体" w:eastAsia="方正仿宋_GBK" w:cs="方正仿宋_GBK" w:hAnsi="宋体" w:hint="eastAsia"/>
          <w:kern w:val="2"/>
          <w:sz w:val="32"/>
        </w:rPr>
        <w:t>住房保障支出38.53万元，占比3.79%。与年初预算一致。</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Style w:val="22"/>
          <w:rFonts w:ascii="宋体" w:eastAsia="方正楷体_GBK" w:cs="方正楷体_GBK" w:hAnsi="宋体" w:hint="eastAsia"/>
          <w:b w:val="0"/>
          <w:bCs/>
          <w:sz w:val="32"/>
          <w:szCs w:val="32"/>
          <w:shd w:val="clear" w:color="auto" w:fill="FFFFFF"/>
        </w:rPr>
        <w:t>一般公共预算财政拨款基本支出情况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2024年度一般公共预算财政拨款基本支出987.76万元。其中：人员经费882.13万元，主要用于工资，社保，医保，公积金等，较上年决算数增加16.40万元，增长1.89%，主要原因是社保调标等。公用经费105.63万元，主要用于办公，水电，物管等，较上年决算数减少10.58万元，减少9.10%，主要原因是本部门厉行节约原则减少办公经费支出等。</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（五）政府性基金预算收支决算情况</w:t>
      </w:r>
    </w:p>
    <w:p>
      <w:pPr>
        <w:pStyle w:val="18"/>
        <w:widowControl/>
        <w:spacing w:before="0" w:beforeAutospacing="0" w:after="0" w:afterAutospacing="0" w:line="579"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w:t>
      </w:r>
      <w:r>
        <w:rPr>
          <w:rFonts w:ascii="方正仿宋_GBK" w:eastAsia="方正仿宋_GBK" w:cs="方正仿宋_GBK" w:hint="eastAsia"/>
          <w:sz w:val="32"/>
          <w:szCs w:val="32"/>
          <w:shd w:val="clear" w:color="auto" w:fill="FFFFFF"/>
        </w:rPr>
        <w:t>本部门无</w:t>
      </w:r>
      <w:r>
        <w:rPr>
          <w:rFonts w:ascii="方正仿宋_GBK" w:eastAsia="方正仿宋_GBK" w:cs="方正仿宋_GBK"/>
          <w:sz w:val="32"/>
          <w:szCs w:val="32"/>
          <w:shd w:val="clear" w:color="auto" w:fill="FFFFFF"/>
        </w:rPr>
        <w:t>政府性基金预算财政拨款</w:t>
      </w:r>
      <w:r>
        <w:rPr>
          <w:rFonts w:ascii="方正仿宋_GBK" w:eastAsia="方正仿宋_GBK" w:cs="方正仿宋_GBK" w:hint="eastAsia"/>
          <w:sz w:val="32"/>
          <w:szCs w:val="32"/>
          <w:shd w:val="clear" w:color="auto" w:fill="FFFFFF"/>
        </w:rPr>
        <w:t>收支。</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（六）国有资本经营预算财政拨款支出决算情况</w:t>
      </w:r>
    </w:p>
    <w:p>
      <w:pPr>
        <w:pStyle w:val="18"/>
        <w:widowControl/>
        <w:spacing w:before="0" w:beforeAutospacing="0" w:after="0" w:afterAutospacing="0" w:line="579"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w:t>
      </w:r>
      <w:r>
        <w:rPr>
          <w:rFonts w:ascii="方正仿宋_GBK" w:eastAsia="方正仿宋_GBK" w:cs="方正仿宋_GBK" w:hint="eastAsia"/>
          <w:sz w:val="32"/>
          <w:szCs w:val="32"/>
          <w:shd w:val="clear" w:color="auto" w:fill="FFFFFF"/>
        </w:rPr>
        <w:t>本部门无</w:t>
      </w:r>
      <w:r>
        <w:rPr>
          <w:rFonts w:ascii="方正仿宋_GBK" w:eastAsia="方正仿宋_GBK" w:cs="方正仿宋_GBK"/>
          <w:sz w:val="32"/>
          <w:szCs w:val="32"/>
          <w:shd w:val="clear" w:color="auto" w:fill="FFFFFF"/>
        </w:rPr>
        <w:t>国有资本经营预算财政拨</w:t>
      </w:r>
      <w:r>
        <w:rPr>
          <w:rFonts w:ascii="方正仿宋_GBK" w:eastAsia="方正仿宋_GBK" w:cs="方正仿宋_GBK" w:hint="eastAsia"/>
          <w:sz w:val="32"/>
          <w:szCs w:val="32"/>
          <w:shd w:val="clear" w:color="auto" w:fill="FFFFFF"/>
        </w:rPr>
        <w:t>款</w:t>
      </w:r>
      <w:r>
        <w:rPr>
          <w:rFonts w:ascii="方正仿宋_GBK" w:eastAsia="方正仿宋_GBK" w:cs="方正仿宋_GBK"/>
          <w:sz w:val="32"/>
          <w:szCs w:val="32"/>
          <w:shd w:val="clear" w:color="auto" w:fill="FFFFFF"/>
        </w:rPr>
        <w:t>支出。</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三、“三公”经费情况</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（一）“三公”经费支出总体情况</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2024年度“三公”经费支出共计10.43万元，较年初预算数减少3.57万元，下降25.50%，主要原因是厉行节约减少公务接待次数等。较上年支出数减少5.76万元，减少35.58%，主要原因是减少公务接待次数等。</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（二）“三公”经费分项支出情况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因公出国（境）费用0万元，本部门未安排单位人员出国出访。</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公务车运行维护费8.59万元，主要用于机要文件交换、市内因公出行、业务检查等工作所需车辆的燃料费、维修费、过桥过路费、保险费等。费用支出较年初预算数减少0.41万元，下降4.56%，主要原因是减少公务用车次数等。较上年支出数减少0.18万元，减少2.05%，主要原因是减少公务用车次数等。</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公务接待费1.83万元，主要用于接待市级相关部门检查指导工作等支出。费用支出较年初预算数减少3.17万元，下降63.40%，主要原因是厉行节约减少接待次数等。较上年支出数减少5.58万元，减少75.30%，主要原因是厉行节约减少接待次数等。</w:t>
      </w:r>
    </w:p>
    <w:p>
      <w:pPr>
        <w:pStyle w:val="18"/>
        <w:widowControl/>
        <w:spacing w:before="0" w:beforeAutospacing="0" w:after="0" w:afterAutospacing="0" w:line="579" w:lineRule="exact"/>
        <w:ind w:firstLineChars="200" w:firstLine="640"/>
        <w:jc w:val="both"/>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（三）“三公”经费实物量情况</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2024年度本部门因公出国（境）共计0个团组，0人；公务用车购置0辆，公务车保有量为3辆；国内公务接待22批次225人，其中：国内外事接待0批次，0人；国（境）外公务接待0批次，0人。人均接待费81.42元，车均购置费0万元，车均维护费2.86万元。</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四、其他需要说明的事项</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（一）财政拨款会议费和培训费情况</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2024年度会议费支出2.88万元，与2023年度相比，增加1.62万元，增加128.57%，主要原因是召开全市农机补短板，酸化治理等大型会议。本年度培训费支出4.82万元，与2023年度相比，减少0.40万元，减少7.66%，主要原因是减少线下培训次数，尽量采取线上培训等。</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（二）机关运行经费情况</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按照部门决算列报口径，我单位不在机关运行经费统计范围之内。</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（三）国有资产占用情况说明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kern w:val="2"/>
          <w:sz w:val="32"/>
        </w:rPr>
        <w:t>截至2024年12月31日，本部门共有车辆3辆。其中：副部（省）级及以上领导用车0辆，主要负责人用车0辆，机要通信用车0辆，应急保障用车3辆，执法执勤用车0辆，特种专业技术用车0辆，离退休干部服务用车0辆，其他用车0辆。单价100万元（含）以上设备（不含车辆）0台（套）。</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（四）政府采购支出说明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kern w:val="2"/>
          <w:sz w:val="32"/>
        </w:rPr>
        <w:t>2024年度本部门政府采购支出总额1.97万元，其中：政府采购货物支出1.97万元、政府采购工程支出0万元、政府采购服务支出0万元。授予中小企业合同金额1.97万元，占政府采购支出总额的100%，其中：授予小微企业合同金额1.97万元，占政府采购支出总额的100%。主要用于采购办公家具等。</w:t>
      </w:r>
    </w:p>
    <w:p>
      <w:pPr>
        <w:pStyle w:val="18"/>
        <w:widowControl/>
        <w:spacing w:before="0" w:beforeAutospacing="0" w:after="0" w:afterAutospacing="0" w:line="579" w:lineRule="exact"/>
        <w:ind w:firstLineChars="200" w:firstLine="640"/>
        <w:outlineLvl w:val="0"/>
        <w:rPr>
          <w:rFonts w:ascii="宋体" w:eastAsia="方正黑体_GBK" w:cs="方正黑体_GBK" w:hAnsi="宋体"/>
          <w:bCs/>
          <w:sz w:val="32"/>
          <w:szCs w:val="32"/>
        </w:rPr>
      </w:pPr>
      <w:r>
        <w:rPr>
          <w:rStyle w:val="19"/>
          <w:rFonts w:ascii="宋体" w:eastAsia="方正黑体_GBK" w:cs="方正黑体_GBK" w:hAnsi="宋体" w:hint="eastAsia"/>
          <w:b w:val="0"/>
          <w:bCs/>
          <w:sz w:val="32"/>
          <w:szCs w:val="32"/>
          <w:shd w:val="clear" w:color="auto" w:fill="FFFFFF"/>
        </w:rPr>
        <w:t>五、预算绩效管理情况</w:t>
      </w:r>
    </w:p>
    <w:p>
      <w:pPr>
        <w:pStyle w:val="18"/>
        <w:widowControl/>
        <w:adjustRightInd w:val="0"/>
        <w:spacing w:before="0" w:beforeAutospacing="0" w:after="0" w:afterAutospacing="0" w:line="579" w:lineRule="exact"/>
        <w:ind w:firstLineChars="200" w:firstLine="640"/>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（一）预算绩效管理工作开展情况</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根据预算绩效管理要求，我部门对4个项目开展了绩效自评，其中，以填报目标自评表形式开展自评，涉及资金29.34万元。</w:t>
      </w:r>
    </w:p>
    <w:p>
      <w:pPr>
        <w:pStyle w:val="18"/>
        <w:widowControl/>
        <w:adjustRightInd w:val="0"/>
        <w:spacing w:before="0" w:beforeAutospacing="0" w:after="0" w:afterAutospacing="0" w:line="579" w:lineRule="exact"/>
        <w:ind w:firstLineChars="200" w:firstLine="640"/>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（二）绩效自评结果</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b/>
          <w:bCs/>
          <w:sz w:val="32"/>
        </w:rPr>
      </w:pPr>
      <w:r>
        <w:rPr>
          <w:rFonts w:ascii="宋体" w:eastAsia="方正仿宋_GBK" w:cs="方正仿宋_GBK" w:hAnsi="宋体" w:hint="eastAsia"/>
          <w:b/>
          <w:bCs/>
          <w:sz w:val="32"/>
        </w:rPr>
        <w:t>1. 绩效目标自评表</w:t>
      </w:r>
    </w:p>
    <w:p>
      <w:pPr>
        <w:pStyle w:val="18"/>
        <w:widowControl/>
        <w:spacing w:before="0" w:beforeAutospacing="0" w:after="0" w:afterAutospacing="0" w:line="579" w:lineRule="exact"/>
        <w:ind w:firstLineChars="200" w:firstLine="640"/>
        <w:jc w:val="both"/>
        <w:rPr>
          <w:rFonts w:ascii="宋体" w:eastAsia="方正仿宋_GBK" w:cs="方正仿宋_GBK" w:hAnsi="宋体"/>
          <w:kern w:val="2"/>
          <w:sz w:val="32"/>
        </w:rPr>
      </w:pPr>
      <w:r>
        <w:rPr>
          <w:rFonts w:ascii="宋体" w:eastAsia="方正仿宋_GBK" w:cs="方正仿宋_GBK" w:hAnsi="宋体" w:hint="eastAsia"/>
          <w:kern w:val="2"/>
          <w:sz w:val="32"/>
        </w:rPr>
        <w:t>（1）非在编人员项目经费根据年初设定的绩效目标，项目总体完成情况：项目全年预算数为15万元，执行数为15万元，完成预算的100%。</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kern w:val="2"/>
          <w:sz w:val="32"/>
        </w:rPr>
        <w:t>（2）公开内容。详见表格。</w:t>
      </w:r>
    </w:p>
    <w:p>
      <w:pPr>
        <w:pStyle w:val="20"/>
        <w:tabs>
          <w:tab w:val="center" w:pos="4153"/>
          <w:tab w:val="left" w:pos="7275"/>
        </w:tabs>
        <w:spacing w:line="579" w:lineRule="exact"/>
        <w:ind w:firstLineChars="0" w:firstLine="0"/>
        <w:rPr>
          <w:rFonts w:ascii="宋体" w:eastAsia="方正仿宋_GBK" w:cs="方正仿宋_GBK" w:hAnsi="宋体"/>
          <w:color w:val="000000"/>
          <w:kern w:val="0"/>
          <w:sz w:val="36"/>
          <w:szCs w:val="36"/>
        </w:rPr>
      </w:pPr>
    </w:p>
    <w:p>
      <w:pPr>
        <w:pStyle w:val="20"/>
        <w:tabs>
          <w:tab w:val="center" w:pos="4153"/>
          <w:tab w:val="left" w:pos="7275"/>
        </w:tabs>
        <w:spacing w:line="579" w:lineRule="exact"/>
        <w:ind w:firstLineChars="0" w:firstLine="0"/>
        <w:jc w:val="center"/>
        <w:rPr>
          <w:rFonts w:ascii="方正黑体_GBK" w:eastAsia="方正黑体_GBK" w:cs="方正黑体_GBK"/>
          <w:color w:val="000000"/>
          <w:kern w:val="0"/>
          <w:sz w:val="36"/>
          <w:szCs w:val="36"/>
        </w:rPr>
      </w:pPr>
      <w:r>
        <w:rPr>
          <w:rFonts w:ascii="方正黑体_GBK" w:eastAsia="方正黑体_GBK" w:cs="方正黑体_GBK" w:hint="eastAsia"/>
          <w:color w:val="000000"/>
          <w:kern w:val="0"/>
          <w:sz w:val="36"/>
          <w:szCs w:val="36"/>
        </w:rPr>
        <w:t>2024年度项目绩效自评表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rPr>
          <w:trHeight w:val="469"/>
        </w:trPr>
        <w:tc>
          <w:tcPr>
            <w:tcW w:w="847"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名称</w:t>
            </w:r>
          </w:p>
        </w:tc>
        <w:tc>
          <w:tcPr>
            <w:tcW w:w="3701" w:type="dxa"/>
            <w:gridSpan w:val="6"/>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非在编人员项目经费</w:t>
            </w:r>
          </w:p>
        </w:tc>
        <w:tc>
          <w:tcPr>
            <w:tcW w:w="1236"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自评</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总分</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4348" w:type="dxa"/>
            <w:gridSpan w:val="5"/>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100分</w:t>
            </w:r>
          </w:p>
        </w:tc>
      </w:tr>
      <w:tr>
        <w:trPr>
          <w:trHeight w:val="469"/>
        </w:trPr>
        <w:tc>
          <w:tcPr>
            <w:tcW w:w="847"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项目主管</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部门</w:t>
            </w:r>
          </w:p>
        </w:tc>
        <w:tc>
          <w:tcPr>
            <w:tcW w:w="1464"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江津区农业农村委员会</w:t>
            </w:r>
          </w:p>
        </w:tc>
        <w:tc>
          <w:tcPr>
            <w:tcW w:w="1075"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财政归口科室</w:t>
            </w:r>
          </w:p>
        </w:tc>
        <w:tc>
          <w:tcPr>
            <w:tcW w:w="1162"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农业农村科</w:t>
            </w:r>
          </w:p>
        </w:tc>
        <w:tc>
          <w:tcPr>
            <w:tcW w:w="1236"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联系人</w:t>
            </w:r>
          </w:p>
        </w:tc>
        <w:tc>
          <w:tcPr>
            <w:tcW w:w="1080"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陈秋宏</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联系电话</w:t>
            </w:r>
          </w:p>
        </w:tc>
        <w:tc>
          <w:tcPr>
            <w:tcW w:w="2176" w:type="dxa"/>
            <w:gridSpan w:val="3"/>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sz w:val="32"/>
                <w:szCs w:val="32"/>
              </w:rPr>
              <w:t>47520067</w:t>
            </w:r>
          </w:p>
        </w:tc>
      </w:tr>
      <w:tr>
        <w:trPr>
          <w:trHeight w:val="469"/>
        </w:trPr>
        <w:tc>
          <w:tcPr>
            <w:tcW w:w="847" w:type="dxa"/>
            <w:vMerge w:val="restart"/>
            <w:tcBorders>
              <w:tl2br w:val="nil"/>
              <w:tr2bl w:val="nil"/>
            </w:tcBorders>
            <w:noWrap/>
            <w:textDirection w:val="tbRlV"/>
            <w:vAlign w:val="center"/>
          </w:tcPr>
          <w:p>
            <w:pPr>
              <w:widowControl/>
              <w:spacing w:line="579" w:lineRule="exact"/>
              <w:ind w:left="113" w:right="113"/>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项目资金（万元）</w:t>
            </w:r>
          </w:p>
        </w:tc>
        <w:tc>
          <w:tcPr>
            <w:tcW w:w="1464" w:type="dxa"/>
            <w:gridSpan w:val="2"/>
            <w:vMerge w:val="restart"/>
            <w:tcBorders>
              <w:tl2br w:val="nil"/>
              <w:tr2bl w:val="nil"/>
            </w:tcBorders>
            <w:noWrap/>
            <w:vAlign w:val="center"/>
          </w:tcPr>
          <w:p>
            <w:pPr>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年度总金额</w:t>
            </w:r>
          </w:p>
        </w:tc>
        <w:tc>
          <w:tcPr>
            <w:tcW w:w="1075"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年初</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预算数</w:t>
            </w:r>
          </w:p>
        </w:tc>
        <w:tc>
          <w:tcPr>
            <w:tcW w:w="1162"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全年（调整）预算数</w:t>
            </w:r>
          </w:p>
        </w:tc>
        <w:tc>
          <w:tcPr>
            <w:tcW w:w="2316" w:type="dxa"/>
            <w:gridSpan w:val="3"/>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全年执行数</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权重</w:t>
            </w: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得分</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r>
      <w:tr>
        <w:trPr>
          <w:trHeight w:val="469"/>
        </w:trPr>
        <w:tc>
          <w:tcPr>
            <w:tcW w:w="847" w:type="dxa"/>
            <w:vMerge/>
            <w:tcBorders>
              <w:tl2br w:val="nil"/>
              <w:tr2bl w:val="nil"/>
            </w:tcBorders>
            <w:noWrap/>
            <w:vAlign w:val="center"/>
          </w:tcPr>
          <w:p/>
        </w:tc>
        <w:tc>
          <w:tcPr>
            <w:tcW w:w="1464" w:type="dxa"/>
            <w:gridSpan w:val="2"/>
            <w:vMerge/>
            <w:tcBorders>
              <w:tl2br w:val="nil"/>
              <w:tr2bl w:val="nil"/>
            </w:tcBorders>
            <w:noWrap/>
            <w:vAlign w:val="center"/>
          </w:tcPr>
          <w:p/>
        </w:tc>
        <w:tc>
          <w:tcPr>
            <w:tcW w:w="1075"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15</w:t>
            </w:r>
          </w:p>
        </w:tc>
        <w:tc>
          <w:tcPr>
            <w:tcW w:w="1162"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15</w:t>
            </w:r>
          </w:p>
        </w:tc>
        <w:tc>
          <w:tcPr>
            <w:tcW w:w="2316" w:type="dxa"/>
            <w:gridSpan w:val="3"/>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15</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kern w:val="0"/>
                <w:sz w:val="24"/>
                <w:szCs w:val="24"/>
              </w:rPr>
            </w:pPr>
            <w:r>
              <w:rPr>
                <w:rFonts w:ascii="宋体" w:eastAsia="方正仿宋_GBK" w:cs="方正仿宋_GBK" w:hAnsi="宋体" w:hint="eastAsia"/>
                <w:kern w:val="0"/>
                <w:sz w:val="24"/>
                <w:szCs w:val="24"/>
              </w:rPr>
              <w:t>10</w:t>
            </w: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w:t>
            </w:r>
          </w:p>
        </w:tc>
      </w:tr>
      <w:tr>
        <w:trPr>
          <w:trHeight w:val="469"/>
        </w:trPr>
        <w:tc>
          <w:tcPr>
            <w:tcW w:w="847" w:type="dxa"/>
            <w:vMerge/>
            <w:tcBorders>
              <w:tl2br w:val="nil"/>
              <w:tr2bl w:val="nil"/>
            </w:tcBorders>
            <w:noWrap/>
            <w:vAlign w:val="center"/>
          </w:tcPr>
          <w:p/>
        </w:tc>
        <w:tc>
          <w:tcPr>
            <w:tcW w:w="146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其中：</w:t>
            </w:r>
          </w:p>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财政拨款</w:t>
            </w:r>
          </w:p>
        </w:tc>
        <w:tc>
          <w:tcPr>
            <w:tcW w:w="1075"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15</w:t>
            </w:r>
          </w:p>
        </w:tc>
        <w:tc>
          <w:tcPr>
            <w:tcW w:w="1162"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15</w:t>
            </w:r>
          </w:p>
        </w:tc>
        <w:tc>
          <w:tcPr>
            <w:tcW w:w="2316" w:type="dxa"/>
            <w:gridSpan w:val="3"/>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15</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w:t>
            </w: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w:t>
            </w:r>
          </w:p>
        </w:tc>
      </w:tr>
      <w:tr>
        <w:trPr>
          <w:trHeight w:val="469"/>
        </w:trPr>
        <w:tc>
          <w:tcPr>
            <w:tcW w:w="847" w:type="dxa"/>
            <w:vMerge w:val="restart"/>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当年绩效目标</w:t>
            </w:r>
          </w:p>
        </w:tc>
        <w:tc>
          <w:tcPr>
            <w:tcW w:w="3017" w:type="dxa"/>
            <w:gridSpan w:val="5"/>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年初绩效目标</w:t>
            </w:r>
          </w:p>
        </w:tc>
        <w:tc>
          <w:tcPr>
            <w:tcW w:w="3000"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全年（调整）绩效目标</w:t>
            </w:r>
          </w:p>
        </w:tc>
        <w:tc>
          <w:tcPr>
            <w:tcW w:w="3268"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全年目标实际完成情况</w:t>
            </w:r>
          </w:p>
        </w:tc>
      </w:tr>
      <w:tr>
        <w:trPr>
          <w:trHeight w:val="1055"/>
        </w:trPr>
        <w:tc>
          <w:tcPr>
            <w:tcW w:w="847" w:type="dxa"/>
            <w:vMerge/>
            <w:tcBorders>
              <w:tl2br w:val="nil"/>
              <w:tr2bl w:val="nil"/>
            </w:tcBorders>
            <w:noWrap/>
            <w:vAlign w:val="center"/>
          </w:tcPr>
          <w:p/>
        </w:tc>
        <w:tc>
          <w:tcPr>
            <w:tcW w:w="3017" w:type="dxa"/>
            <w:gridSpan w:val="5"/>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非在编人员工资，社保等支出</w:t>
            </w:r>
          </w:p>
        </w:tc>
        <w:tc>
          <w:tcPr>
            <w:tcW w:w="3000"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c>
          <w:tcPr>
            <w:tcW w:w="3268"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非在编人员工资，社保等支出</w:t>
            </w:r>
          </w:p>
        </w:tc>
      </w:tr>
      <w:tr>
        <w:trPr>
          <w:trHeight w:val="469"/>
        </w:trPr>
        <w:tc>
          <w:tcPr>
            <w:tcW w:w="847" w:type="dxa"/>
            <w:vMerge w:val="restart"/>
            <w:tcBorders>
              <w:tl2br w:val="nil"/>
              <w:tr2bl w:val="nil"/>
            </w:tcBorders>
            <w:noWrap/>
            <w:textDirection w:val="tbRlV"/>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绩效指标</w:t>
            </w:r>
          </w:p>
        </w:tc>
        <w:tc>
          <w:tcPr>
            <w:tcW w:w="756"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名称</w:t>
            </w:r>
          </w:p>
        </w:tc>
        <w:tc>
          <w:tcPr>
            <w:tcW w:w="708"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计量</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单位</w:t>
            </w:r>
          </w:p>
        </w:tc>
        <w:tc>
          <w:tcPr>
            <w:tcW w:w="709"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性质</w:t>
            </w:r>
          </w:p>
        </w:tc>
        <w:tc>
          <w:tcPr>
            <w:tcW w:w="844"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值</w:t>
            </w:r>
          </w:p>
        </w:tc>
        <w:tc>
          <w:tcPr>
            <w:tcW w:w="972"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完成值</w:t>
            </w:r>
          </w:p>
        </w:tc>
        <w:tc>
          <w:tcPr>
            <w:tcW w:w="948"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偏离度（%）</w:t>
            </w:r>
          </w:p>
        </w:tc>
        <w:tc>
          <w:tcPr>
            <w:tcW w:w="1080"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得分</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系数</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权重</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1284"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指标得分</w:t>
            </w:r>
          </w:p>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8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说明</w:t>
            </w: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时效</w:t>
            </w:r>
          </w:p>
        </w:tc>
        <w:tc>
          <w:tcPr>
            <w:tcW w:w="708"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月</w:t>
            </w:r>
          </w:p>
        </w:tc>
        <w:tc>
          <w:tcPr>
            <w:tcW w:w="709"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84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12</w:t>
            </w:r>
          </w:p>
        </w:tc>
        <w:tc>
          <w:tcPr>
            <w:tcW w:w="972"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12</w:t>
            </w:r>
          </w:p>
        </w:tc>
        <w:tc>
          <w:tcPr>
            <w:tcW w:w="948"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c>
          <w:tcPr>
            <w:tcW w:w="1080"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1092"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20</w:t>
            </w:r>
          </w:p>
        </w:tc>
        <w:tc>
          <w:tcPr>
            <w:tcW w:w="128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20</w:t>
            </w:r>
          </w:p>
        </w:tc>
        <w:tc>
          <w:tcPr>
            <w:tcW w:w="892"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安全</w:t>
            </w:r>
          </w:p>
        </w:tc>
        <w:tc>
          <w:tcPr>
            <w:tcW w:w="708"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人</w:t>
            </w:r>
          </w:p>
        </w:tc>
        <w:tc>
          <w:tcPr>
            <w:tcW w:w="709"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方正仿宋_GBK" w:eastAsia="方正仿宋_GBK" w:cs="方正仿宋_GBK"/>
                <w:color w:val="000000"/>
                <w:sz w:val="24"/>
                <w:szCs w:val="24"/>
                <w:shd w:val="clear" w:color="auto" w:fill="FFFFFF"/>
              </w:rPr>
              <w:t>≥</w:t>
            </w:r>
          </w:p>
        </w:tc>
        <w:tc>
          <w:tcPr>
            <w:tcW w:w="84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98</w:t>
            </w:r>
          </w:p>
        </w:tc>
        <w:tc>
          <w:tcPr>
            <w:tcW w:w="972"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98</w:t>
            </w:r>
          </w:p>
        </w:tc>
        <w:tc>
          <w:tcPr>
            <w:tcW w:w="948"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c>
          <w:tcPr>
            <w:tcW w:w="1080"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1092"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40</w:t>
            </w:r>
          </w:p>
        </w:tc>
        <w:tc>
          <w:tcPr>
            <w:tcW w:w="128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40</w:t>
            </w:r>
          </w:p>
        </w:tc>
        <w:tc>
          <w:tcPr>
            <w:tcW w:w="892"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可持续</w:t>
            </w:r>
          </w:p>
        </w:tc>
        <w:tc>
          <w:tcPr>
            <w:tcW w:w="708"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每个</w:t>
            </w:r>
          </w:p>
        </w:tc>
        <w:tc>
          <w:tcPr>
            <w:tcW w:w="709"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方正仿宋_GBK" w:eastAsia="方正仿宋_GBK" w:cs="方正仿宋_GBK"/>
                <w:color w:val="000000"/>
                <w:sz w:val="24"/>
                <w:szCs w:val="24"/>
                <w:shd w:val="clear" w:color="auto" w:fill="FFFFFF"/>
              </w:rPr>
              <w:t>≥</w:t>
            </w:r>
          </w:p>
        </w:tc>
        <w:tc>
          <w:tcPr>
            <w:tcW w:w="84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3</w:t>
            </w:r>
          </w:p>
        </w:tc>
        <w:tc>
          <w:tcPr>
            <w:tcW w:w="972"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3</w:t>
            </w:r>
          </w:p>
        </w:tc>
        <w:tc>
          <w:tcPr>
            <w:tcW w:w="948"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c>
          <w:tcPr>
            <w:tcW w:w="1080"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1092"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20</w:t>
            </w:r>
          </w:p>
        </w:tc>
        <w:tc>
          <w:tcPr>
            <w:tcW w:w="128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20</w:t>
            </w:r>
          </w:p>
        </w:tc>
        <w:tc>
          <w:tcPr>
            <w:tcW w:w="892"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服务对象</w:t>
            </w:r>
          </w:p>
        </w:tc>
        <w:tc>
          <w:tcPr>
            <w:tcW w:w="708"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个</w:t>
            </w:r>
          </w:p>
        </w:tc>
        <w:tc>
          <w:tcPr>
            <w:tcW w:w="709"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84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3</w:t>
            </w:r>
          </w:p>
        </w:tc>
        <w:tc>
          <w:tcPr>
            <w:tcW w:w="972"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3</w:t>
            </w:r>
          </w:p>
        </w:tc>
        <w:tc>
          <w:tcPr>
            <w:tcW w:w="948"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c>
          <w:tcPr>
            <w:tcW w:w="1080"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1092"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w:t>
            </w:r>
          </w:p>
        </w:tc>
        <w:tc>
          <w:tcPr>
            <w:tcW w:w="1284" w:type="dxa"/>
            <w:gridSpan w:val="2"/>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w:t>
            </w:r>
          </w:p>
        </w:tc>
        <w:tc>
          <w:tcPr>
            <w:tcW w:w="892" w:type="dxa"/>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p>
        </w:tc>
      </w:tr>
    </w:tbl>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kern w:val="0"/>
          <w:sz w:val="32"/>
          <w:szCs w:val="32"/>
        </w:rPr>
      </w:pPr>
      <w:r>
        <w:rPr>
          <w:rFonts w:ascii="宋体" w:eastAsia="方正仿宋_GBK" w:cs="方正仿宋_GBK" w:hAnsi="宋体" w:hint="eastAsia"/>
          <w:b/>
          <w:kern w:val="0"/>
          <w:sz w:val="32"/>
          <w:szCs w:val="32"/>
        </w:rPr>
        <w:t>绩效自评报告或案例</w:t>
      </w:r>
    </w:p>
    <w:p>
      <w:pPr>
        <w:pStyle w:val="20"/>
        <w:tabs>
          <w:tab w:val="center" w:pos="4153"/>
          <w:tab w:val="left" w:pos="7275"/>
        </w:tabs>
        <w:spacing w:line="579" w:lineRule="exact"/>
        <w:ind w:firstLineChars="300" w:firstLine="960"/>
        <w:rPr>
          <w:rFonts w:ascii="宋体" w:eastAsia="方正仿宋_GBK" w:cs="方正仿宋_GBK" w:hAnsi="宋体"/>
          <w:kern w:val="0"/>
          <w:sz w:val="32"/>
          <w:szCs w:val="32"/>
        </w:rPr>
      </w:pPr>
      <w:r>
        <w:rPr>
          <w:rFonts w:ascii="宋体" w:eastAsia="方正仿宋_GBK" w:cs="方正仿宋_GBK" w:hAnsi="宋体" w:hint="eastAsia"/>
          <w:kern w:val="0"/>
          <w:sz w:val="32"/>
          <w:szCs w:val="32"/>
        </w:rPr>
        <w:t>本单位无此事项。</w:t>
      </w:r>
    </w:p>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bCs/>
          <w:color w:val="000000"/>
          <w:kern w:val="0"/>
          <w:sz w:val="32"/>
          <w:szCs w:val="32"/>
        </w:rPr>
      </w:pPr>
      <w:r>
        <w:rPr>
          <w:rFonts w:ascii="宋体" w:eastAsia="方正仿宋_GBK" w:cs="方正仿宋_GBK" w:hAnsi="宋体" w:hint="eastAsia"/>
          <w:b/>
          <w:bCs/>
          <w:color w:val="000000"/>
          <w:kern w:val="0"/>
          <w:sz w:val="32"/>
          <w:szCs w:val="32"/>
        </w:rPr>
        <w:t>关于绩效自评结果的说明</w:t>
      </w:r>
    </w:p>
    <w:p>
      <w:pPr>
        <w:pStyle w:val="20"/>
        <w:tabs>
          <w:tab w:val="center" w:pos="4153"/>
          <w:tab w:val="left" w:pos="7275"/>
        </w:tabs>
        <w:spacing w:line="579" w:lineRule="exact"/>
        <w:ind w:firstLineChars="300" w:firstLine="960"/>
        <w:rPr>
          <w:rFonts w:ascii="宋体" w:eastAsia="方正仿宋_GBK" w:cs="方正仿宋_GBK" w:hAnsi="宋体"/>
          <w:kern w:val="0"/>
          <w:sz w:val="32"/>
          <w:szCs w:val="32"/>
        </w:rPr>
      </w:pPr>
      <w:r>
        <w:rPr>
          <w:rFonts w:ascii="宋体" w:eastAsia="方正仿宋_GBK" w:cs="方正仿宋_GBK" w:hAnsi="宋体" w:hint="eastAsia"/>
          <w:kern w:val="0"/>
          <w:sz w:val="32"/>
          <w:szCs w:val="32"/>
        </w:rPr>
        <w:t>完成非在编人员项目绩效目标。</w:t>
      </w:r>
    </w:p>
    <w:p>
      <w:pPr>
        <w:pStyle w:val="20"/>
        <w:tabs>
          <w:tab w:val="center" w:pos="4153"/>
          <w:tab w:val="left" w:pos="7275"/>
        </w:tabs>
        <w:spacing w:line="579" w:lineRule="exact"/>
        <w:outlineLvl w:val="1"/>
        <w:rPr>
          <w:rFonts w:ascii="宋体" w:eastAsia="方正楷体_GBK" w:cs="方正楷体_GBK" w:hAnsi="宋体"/>
          <w:color w:val="333333"/>
          <w:sz w:val="32"/>
          <w:szCs w:val="32"/>
        </w:rPr>
      </w:pPr>
      <w:r>
        <w:rPr>
          <w:rFonts w:ascii="宋体" w:eastAsia="方正楷体_GBK" w:cs="方正楷体_GBK" w:hAnsi="宋体" w:hint="eastAsia"/>
          <w:color w:val="333333"/>
          <w:sz w:val="32"/>
          <w:szCs w:val="32"/>
        </w:rPr>
        <w:t>（三）重点绩效评价结果</w:t>
      </w:r>
    </w:p>
    <w:p>
      <w:pPr>
        <w:pStyle w:val="20"/>
        <w:tabs>
          <w:tab w:val="center" w:pos="4153"/>
          <w:tab w:val="left" w:pos="7275"/>
        </w:tabs>
        <w:spacing w:line="579" w:lineRule="exact"/>
        <w:ind w:firstLineChars="300" w:firstLine="960"/>
        <w:rPr>
          <w:rFonts w:ascii="宋体" w:eastAsia="方正仿宋_GBK" w:cs="方正仿宋_GBK" w:hAnsi="宋体"/>
          <w:kern w:val="0"/>
          <w:sz w:val="32"/>
          <w:szCs w:val="32"/>
        </w:rPr>
      </w:pPr>
      <w:r>
        <w:rPr>
          <w:rFonts w:ascii="宋体" w:eastAsia="方正仿宋_GBK" w:cs="方正仿宋_GBK" w:hAnsi="宋体" w:hint="eastAsia"/>
          <w:kern w:val="0"/>
          <w:sz w:val="32"/>
          <w:szCs w:val="32"/>
        </w:rPr>
        <w:t>本单位无此事项。</w:t>
      </w:r>
    </w:p>
    <w:p>
      <w:pPr>
        <w:pStyle w:val="20"/>
        <w:numPr>
          <w:ilvl w:val="0"/>
          <w:numId w:val="8"/>
        </w:numPr>
        <w:tabs>
          <w:tab w:val="center" w:pos="4153"/>
          <w:tab w:val="left" w:pos="7275"/>
        </w:tabs>
        <w:spacing w:line="579" w:lineRule="exact"/>
        <w:ind w:left="0" w:firstLineChars="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专业名词解释</w:t>
      </w:r>
    </w:p>
    <w:p>
      <w:pPr>
        <w:pStyle w:val="20"/>
        <w:tabs>
          <w:tab w:val="center" w:pos="4153"/>
          <w:tab w:val="left" w:pos="7275"/>
        </w:tabs>
        <w:spacing w:line="579" w:lineRule="exact"/>
        <w:rPr>
          <w:rFonts w:ascii="宋体" w:eastAsia="方正仿宋_GBK" w:cs="方正仿宋_GBK" w:hAnsi="宋体"/>
          <w:sz w:val="32"/>
          <w:szCs w:val="32"/>
        </w:rPr>
      </w:pPr>
      <w:r>
        <w:rPr>
          <w:rFonts w:ascii="宋体" w:eastAsia="方正仿宋_GBK" w:cs="方正仿宋_GBK" w:hAnsi="宋体" w:hint="eastAsia"/>
          <w:sz w:val="32"/>
          <w:szCs w:val="32"/>
        </w:rPr>
        <w:t>部门应根据实际情况对专业名词进行解释，不得遗漏。</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（一）财政拨款收入：指本年度从本级财政部门取得的财政拨款，包括一般公共预算财政拨款和政府性基金预算财政拨款。</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（二）事业收入：指事业单位开展专业业务活动及其辅助活动取得的现金流入；事业单位收到的财政专户实际核拨的教育收费等资金在此反映。</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（四）使用非财政拨款结余：指单位在当年的“财政拨款收入”、“事业收入”、“经营收入”、“其他收入”等不足以安排当年支出的情况下，使用以前年度积累的非财政拨款结余弥补本年度收支缺口的资金。</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（五）年初结转和结余：指单位上年结转本年使用的基本支出结转、项目支出结转和结余、经营结余。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（六）结余分配：指单位按照国家有关规定，缴纳所得税、提取专用基金、转入非财政拨款结余等当年结余的分配情况。</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（七）年末结转和结余：指单位结转下年的基本支出结转、项目支出结转和结余、经营结余。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（九）项目支出：指在基本支出之外为完成特定行政任务和事业发展目标所发生的支出。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（十二）工资福利支出（支出经济分类科目类级）：反映单位开支的在职职工和编制外长期聘用人员的各类劳动报酬，以及为上述人员缴纳的各项社会保险费等。</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（十三）商品和服务支出（支出经济分类科目类级）：反映单位购买商品和服务的支出（不包括用于购置固定资产的支出、战略性和应急储备支出）。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（十四）对个人和家庭的补助（支出经济分类科目类级）：反映用于对个人和家庭的补助支出。</w:t>
      </w:r>
    </w:p>
    <w:p>
      <w:pPr>
        <w:pStyle w:val="20"/>
        <w:tabs>
          <w:tab w:val="center" w:pos="4153"/>
          <w:tab w:val="left" w:pos="7275"/>
        </w:tabs>
        <w:spacing w:line="579" w:lineRule="exact"/>
        <w:rPr>
          <w:rFonts w:ascii="宋体" w:eastAsia="方正仿宋_GBK" w:cs="方正仿宋_GBK" w:hAnsi="宋体"/>
          <w:sz w:val="32"/>
          <w:szCs w:val="32"/>
        </w:rPr>
      </w:pPr>
      <w:r>
        <w:rPr>
          <w:rFonts w:ascii="宋体" w:eastAsia="方正仿宋_GBK" w:cs="方正仿宋_GBK" w:hAnsi="宋体" w:hint="eastAsia"/>
          <w:sz w:val="32"/>
          <w:szCs w:val="32"/>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七、决算公开联系方式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本单位决算公开信息反馈和联系方式：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联系人：陈秋宏</w:t>
      </w:r>
      <w:r>
        <w:rPr>
          <w:rFonts w:ascii="宋体" w:eastAsia="方正仿宋_GBK" w:cs="方正仿宋_GBK" w:hAnsi="宋体"/>
          <w:sz w:val="32"/>
          <w:szCs w:val="32"/>
        </w:rPr>
        <w:t xml:space="preserve">  </w:t>
      </w:r>
      <w:r>
        <w:rPr>
          <w:rFonts w:ascii="宋体" w:eastAsia="方正仿宋_GBK" w:cs="方正仿宋_GBK" w:hAnsi="宋体" w:hint="eastAsia"/>
          <w:sz w:val="32"/>
          <w:szCs w:val="32"/>
        </w:rPr>
        <w:t>联系电话：023-47520067</w:t>
      </w:r>
    </w:p>
    <w:sectPr>
      <w:footerReference w:type="default" r:id="rId2"/>
      <w:footerReference w:type="even" r:id="rId3"/>
      <w:pgSz w:w="11906" w:h="16838"/>
      <w:pgMar w:top="1587" w:right="1474" w:bottom="147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7</w:t>
    </w:r>
    <w:r>
      <w:rPr>
        <w:sz w:val="28"/>
        <w:szCs w:val="28"/>
      </w:rPr>
      <w:fldChar w:fldCharType="end"/>
    </w:r>
    <w:r>
      <w:rPr>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6</w:t>
    </w:r>
    <w:r>
      <w:rPr>
        <w:sz w:val="28"/>
        <w:szCs w:val="28"/>
      </w:rPr>
      <w:fldChar w:fldCharType="end"/>
    </w:r>
    <w:r>
      <w:rPr>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6BB1AE55"/>
    <w:multiLevelType w:val="singleLevel"/>
    <w:tmpl w:val="6BB1AE55"/>
    <w:lvl w:ilvl="0">
      <w:start w:val="1"/>
      <w:numFmt w:val="chineseCounting"/>
      <w:lvlRestart w:val="0"/>
      <w:suff w:val="nothing"/>
      <w:lvlText w:val="（%1）"/>
      <w:lvlJc w:val="left"/>
      <w:pPr>
        <w:tabs>
          <w:tab w:val="num" w:pos="0"/>
        </w:tabs>
        <w:ind w:left="0" w:hanging="0"/>
      </w:pPr>
      <w:rPr>
        <w:rFonts w:hint="eastAsia"/>
      </w:rPr>
    </w:lvl>
  </w:abstractNum>
  <w:abstractNum w:abstractNumId="3">
    <w:nsid w:val="170F8B3D"/>
    <w:multiLevelType w:val="singleLevel"/>
    <w:tmpl w:val="170F8B3D"/>
    <w:lvl w:ilvl="0">
      <w:start w:val="1"/>
      <w:numFmt w:val="decimal"/>
      <w:lvlRestart w:val="0"/>
      <w:suff w:val="space"/>
      <w:lvlText w:val="%1."/>
      <w:lvlJc w:val="left"/>
      <w:pPr>
        <w:tabs>
          <w:tab w:val="num" w:pos="0"/>
        </w:tabs>
        <w:ind w:left="0" w:hanging="0"/>
      </w:pPr>
    </w:lvl>
  </w:abstractNum>
  <w:abstractNum w:abstractNumId="4">
    <w:nsid w:val="C7DC43F0"/>
    <w:multiLevelType w:val="singleLevel"/>
    <w:tmpl w:val="C7DC43F0"/>
    <w:lvl w:ilvl="0">
      <w:start w:val="1"/>
      <w:numFmt w:val="decimal"/>
      <w:lvlRestart w:val="0"/>
      <w:suff w:val="space"/>
      <w:lvlText w:val="%1."/>
      <w:lvlJc w:val="left"/>
      <w:pPr>
        <w:tabs>
          <w:tab w:val="num" w:pos="0"/>
        </w:tabs>
        <w:ind w:left="0" w:hanging="0"/>
      </w:pPr>
    </w:lvl>
  </w:abstractNum>
  <w:abstractNum w:abstractNumId="5">
    <w:nsid w:val="FC092FFC"/>
    <w:multiLevelType w:val="singleLevel"/>
    <w:tmpl w:val="FC092FFC"/>
    <w:lvl w:ilvl="0">
      <w:start w:val="1"/>
      <w:numFmt w:val="decimal"/>
      <w:lvlRestart w:val="0"/>
      <w:suff w:val="nothing"/>
      <w:lvlText w:val="（%1）"/>
      <w:lvlJc w:val="left"/>
      <w:pPr>
        <w:tabs>
          <w:tab w:val="num" w:pos="0"/>
        </w:tabs>
        <w:ind w:left="0" w:hanging="0"/>
      </w:pPr>
    </w:lvl>
  </w:abstractNum>
  <w:abstractNum w:abstractNumId="6">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7">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evenAndOddHeaders/>
  <w:drawingGridHorizontalSpacing w:val="2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kern w:val="0"/>
      <w:sz w:val="18"/>
      <w:szCs w:val="18"/>
    </w:rPr>
  </w:style>
  <w:style w:type="paragraph" w:styleId="17">
    <w:name w:val="header"/>
    <w:basedOn w:val="0"/>
    <w:pPr>
      <w:pBdr>
        <w:bottom w:val="single" w:sz="6" w:space="1" w:color="auto"/>
      </w:pBdr>
      <w:tabs>
        <w:tab w:val="center" w:pos="4153"/>
        <w:tab w:val="right" w:pos="8306"/>
      </w:tabs>
      <w:snapToGrid w:val="0"/>
      <w:jc w:val="center"/>
    </w:pPr>
    <w:rPr>
      <w:kern w:val="0"/>
      <w:sz w:val="18"/>
      <w:szCs w:val="18"/>
    </w:rPr>
  </w:style>
  <w:style w:type="paragraph" w:styleId="18">
    <w:name w:val="Normal (Web)"/>
    <w:basedOn w:val="0"/>
    <w:pPr>
      <w:spacing w:before="100" w:beforeAutospacing="1" w:after="100" w:afterAutospacing="1"/>
      <w:jc w:val="left"/>
    </w:pPr>
    <w:rPr>
      <w:kern w:val="0"/>
      <w:sz w:val="24"/>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jc w:val="left"/>
    </w:pPr>
    <w:rPr>
      <w:rFonts w:ascii="宋体"/>
      <w:kern w:val="0"/>
      <w:sz w:val="24"/>
      <w:szCs w:val="24"/>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75</TotalTime>
  <Application>Yozo_Office</Application>
  <Pages>10</Pages>
  <Words>4079</Words>
  <Characters>4572</Characters>
  <Lines>316</Lines>
  <Paragraphs>186</Paragraphs>
  <CharactersWithSpaces>4585</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acer</cp:lastModifiedBy>
  <cp:revision>6</cp:revision>
  <cp:lastPrinted>2025-08-14T09:07:00Z</cp:lastPrinted>
  <dcterms:created xsi:type="dcterms:W3CDTF">2021-07-06T14:32:00Z</dcterms:created>
  <dcterms:modified xsi:type="dcterms:W3CDTF">2025-08-22T03:27:04Z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eyJoZGlkIjoiNTM4MGZhZTBlNjAyZmE4NTdiYjk0YTdmNjA5YmY0M2QiLCJ1c2VySWQiOiI3NjIxMjU0NjkifQ==</vt:lpwstr>
  </property>
</Properties>
</file>