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9"/>
        <w:spacing w:before="0" w:beforeAutospacing="0" w:line="440" w:lineRule="exact"/>
        <w:jc w:val="center"/>
        <w:rPr>
          <w:rFonts w:ascii="方正小标宋_GBK" w:eastAsia="方正小标宋_GBK" w:cs="方正小标宋_GBK"/>
          <w:sz w:val="44"/>
          <w:szCs w:val="44"/>
        </w:rPr>
      </w:pPr>
      <w:r>
        <w:rPr>
          <w:rFonts w:ascii="方正小标宋_GBK" w:eastAsia="方正小标宋_GBK" w:cs="方正小标宋_GBK"/>
          <w:sz w:val="44"/>
          <w:szCs w:val="44"/>
        </w:rPr>
        <w:t>重庆市江津区农业科教信息中心</w:t>
      </w:r>
    </w:p>
    <w:p>
      <w:pPr>
        <w:pStyle w:val="19"/>
        <w:spacing w:before="0" w:beforeAutospacing="0" w:line="440" w:lineRule="exact"/>
        <w:jc w:val="center"/>
        <w:rPr>
          <w:rFonts w:ascii="方正小标宋_GBK" w:eastAsia="方正小标宋_GBK" w:cs="方正小标宋_GBK"/>
          <w:sz w:val="44"/>
          <w:szCs w:val="44"/>
          <w:shd w:val="clear" w:color="auto" w:fill="FFFFFF"/>
        </w:rPr>
      </w:pPr>
      <w:r>
        <w:rPr>
          <w:rFonts w:ascii="方正小标宋_GBK" w:eastAsia="方正小标宋_GBK" w:cs="方正小标宋_GBK"/>
          <w:sz w:val="44"/>
          <w:szCs w:val="44"/>
          <w:shd w:val="clear" w:color="auto" w:fill="FFFFFF"/>
        </w:rPr>
        <w:t>2024年度决算公开说明</w:t>
      </w:r>
    </w:p>
    <w:p>
      <w:pPr>
        <w:pStyle w:val="19"/>
        <w:spacing w:before="0" w:beforeAutospacing="0" w:line="440" w:lineRule="exact"/>
        <w:jc w:val="center"/>
        <w:rPr>
          <w:rFonts w:ascii="方正小标宋_GBK" w:eastAsia="方正小标宋_GBK" w:cs="方正小标宋_GBK"/>
          <w:sz w:val="44"/>
          <w:szCs w:val="44"/>
          <w:shd w:val="clear" w:color="auto" w:fill="FFFFFF"/>
        </w:rPr>
      </w:pPr>
    </w:p>
    <w:p>
      <w:pPr>
        <w:pStyle w:val="25"/>
        <w:tabs>
          <w:tab w:val="center" w:pos="4153"/>
          <w:tab w:val="left" w:pos="7275"/>
        </w:tabs>
        <w:spacing w:line="579" w:lineRule="exact"/>
        <w:rPr>
          <w:rFonts w:eastAsia="方正黑体_GBK" w:cs="方正黑体_GBK"/>
          <w:sz w:val="32"/>
          <w:szCs w:val="32"/>
        </w:rPr>
      </w:pPr>
      <w:r>
        <w:rPr>
          <w:rFonts w:eastAsia="方正黑体_GBK" w:cs="方正黑体_GBK"/>
          <w:sz w:val="32"/>
          <w:szCs w:val="32"/>
        </w:rPr>
        <w:t>一、单位基本情况</w:t>
      </w:r>
    </w:p>
    <w:p>
      <w:pPr>
        <w:spacing w:line="579" w:lineRule="exact"/>
        <w:ind w:firstLineChars="200" w:firstLine="640"/>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（一）职能职责</w:t>
      </w:r>
    </w:p>
    <w:p>
      <w:pPr>
        <w:spacing w:line="600" w:lineRule="exact"/>
        <w:ind w:firstLineChars="200" w:firstLine="640"/>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实施全区农业科技教育、人才培训发展规划；开展成人农业技术学科中专学历教育及农广校体系建设工作；开展新型职业农民及农村实用人才培训、认定和管理工作；开展基层农技人员继续教育工作；开展农业行业特有工种职业技能鉴定、农民技术职称评定工作；组织开展农民体育活动；实施农村信息化建设，开展信息业务培训，开展信息技术推广和农业信息资源的开发及利用；完成行政主管部门交办的其他工作。</w:t>
      </w:r>
    </w:p>
    <w:p>
      <w:pPr>
        <w:numPr>
          <w:ilvl w:val="0"/>
          <w:numId w:val="1"/>
        </w:numPr>
        <w:spacing w:line="579" w:lineRule="exact"/>
        <w:ind w:left="0" w:firstLineChars="200" w:firstLine="640"/>
        <w:rPr>
          <w:rFonts w:eastAsia="方正楷体_GBK" w:cs="方正楷体_GBK"/>
          <w:sz w:val="32"/>
          <w:szCs w:val="32"/>
        </w:rPr>
      </w:pPr>
      <w:r>
        <w:rPr>
          <w:rFonts w:eastAsia="方正楷体_GBK" w:cs="方正楷体_GBK"/>
          <w:sz w:val="32"/>
          <w:szCs w:val="32"/>
        </w:rPr>
        <w:t>单位构成</w:t>
      </w:r>
    </w:p>
    <w:p>
      <w:pPr>
        <w:spacing w:line="579" w:lineRule="exact"/>
        <w:ind w:firstLineChars="200" w:firstLine="640"/>
        <w:rPr>
          <w:rFonts w:eastAsia="方正黑体_GBK" w:cs="方正黑体_GBK"/>
          <w:sz w:val="32"/>
          <w:szCs w:val="32"/>
        </w:rPr>
      </w:pPr>
      <w:r>
        <w:rPr>
          <w:rFonts w:ascii="方正仿宋_GBK" w:eastAsia="方正仿宋_GBK" w:cs="方正仿宋_GBK"/>
          <w:sz w:val="32"/>
          <w:szCs w:val="32"/>
          <w:shd w:val="clear" w:color="auto" w:fill="FFFFFF"/>
        </w:rPr>
        <w:t>区农业科教信息中心系区农业农村委下属全额拨款的独立法人事业单位。</w:t>
      </w:r>
    </w:p>
    <w:p>
      <w:pPr>
        <w:pStyle w:val="19"/>
        <w:shd w:val="clear" w:color="auto" w:fill="FFFFFF"/>
        <w:rPr>
          <w:rStyle w:val="20"/>
          <w:rFonts w:ascii="黑体" w:eastAsia="黑体" w:cs="黑体"/>
          <w:sz w:val="32"/>
          <w:szCs w:val="32"/>
          <w:shd w:val="clear" w:color="auto" w:fill="FFFFFF"/>
        </w:rPr>
      </w:pPr>
      <w:r>
        <w:rPr>
          <w:rStyle w:val="20"/>
          <w:rFonts w:ascii="黑体" w:eastAsia="黑体" w:cs="黑体"/>
          <w:sz w:val="32"/>
          <w:szCs w:val="32"/>
          <w:shd w:val="clear" w:color="auto" w:fill="FFFFFF"/>
        </w:rPr>
        <w:t>　　　二、部门决算情况</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（一）部门收支总体情况</w:t>
      </w:r>
    </w:p>
    <w:p>
      <w:pPr>
        <w:pStyle w:val="19"/>
        <w:shd w:val="clear" w:color="auto" w:fill="FFFFFF"/>
        <w:ind w:firstLineChars="200" w:firstLine="640"/>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1.收入支出总体情况。</w:t>
      </w:r>
      <w:r>
        <w:rPr>
          <w:rFonts w:ascii="方正仿宋_GBK" w:eastAsia="方正仿宋_GBK" w:cs="方正仿宋_GBK"/>
          <w:sz w:val="32"/>
          <w:szCs w:val="32"/>
          <w:shd w:val="clear" w:color="auto" w:fill="FFFFFF"/>
        </w:rPr>
        <w:t>2024年度收入总计365.70万元，支出总计</w:t>
      </w:r>
      <w:r>
        <w:rPr>
          <w:rFonts w:ascii="方正仿宋_GBK" w:eastAsia="方正仿宋_GBK" w:cs="方正仿宋_GBK"/>
          <w:sz w:val="32"/>
          <w:szCs w:val="32"/>
        </w:rPr>
        <w:t>365.70</w:t>
      </w:r>
      <w:r>
        <w:rPr>
          <w:rFonts w:ascii="方正仿宋_GBK" w:eastAsia="方正仿宋_GBK" w:cs="方正仿宋_GBK"/>
          <w:sz w:val="32"/>
          <w:szCs w:val="32"/>
          <w:shd w:val="clear" w:color="auto" w:fill="FFFFFF"/>
        </w:rPr>
        <w:t>万元。收、支与2023年度相比，增加61.85万元，增长20.36%，主要原因：一是首席专家项目2023年是列入主管部门的，2024年列入了我单位；二是社保基数调整，增加了社保费。</w:t>
      </w:r>
    </w:p>
    <w:p>
      <w:pPr>
        <w:pStyle w:val="19"/>
        <w:shd w:val="clear" w:color="auto" w:fill="FFFFFF"/>
        <w:ind w:firstLineChars="200" w:firstLine="640"/>
        <w:rPr>
          <w:rFonts w:ascii="方正仿宋_GBK" w:eastAsia="方正仿宋_GBK" w:cs="方正仿宋_GBK"/>
          <w:sz w:val="32"/>
          <w:szCs w:val="32"/>
          <w:shd w:val="clear" w:color="auto" w:fill="FFFFFF"/>
        </w:rPr>
      </w:pPr>
      <w:r>
        <w:rPr>
          <w:rStyle w:val="20"/>
          <w:rFonts w:ascii="方正仿宋_GBK" w:eastAsia="方正仿宋_GBK" w:cs="方正仿宋_GBK"/>
          <w:sz w:val="32"/>
          <w:szCs w:val="32"/>
          <w:shd w:val="clear" w:color="auto" w:fill="FFFFFF"/>
        </w:rPr>
        <w:t>2.收入情况。</w:t>
      </w:r>
      <w:r>
        <w:rPr>
          <w:rFonts w:ascii="方正仿宋_GBK" w:eastAsia="方正仿宋_GBK" w:cs="方正仿宋_GBK"/>
          <w:sz w:val="32"/>
          <w:szCs w:val="32"/>
          <w:shd w:val="clear" w:color="auto" w:fill="FFFFFF"/>
        </w:rPr>
        <w:t>2024年度收入合计365.70万元，与2023年度相比，增加61.85万元，增长20.36%，主要原因是一是首席专家项目2023年是列入主管部门的，2024年列入了我单位；二是社保基数调整，增加了社保费。其中：财政拨款收入</w:t>
      </w:r>
      <w:r>
        <w:rPr>
          <w:rFonts w:ascii="方正仿宋_GBK" w:eastAsia="方正仿宋_GBK" w:cs="方正仿宋_GBK"/>
          <w:sz w:val="32"/>
          <w:szCs w:val="32"/>
        </w:rPr>
        <w:t>365.70</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100.00</w:t>
      </w:r>
      <w:r>
        <w:rPr>
          <w:rFonts w:ascii="方正仿宋_GBK" w:eastAsia="方正仿宋_GBK" w:cs="方正仿宋_GBK"/>
          <w:sz w:val="32"/>
          <w:szCs w:val="32"/>
          <w:shd w:val="clear" w:color="auto" w:fill="FFFFFF"/>
        </w:rPr>
        <w:t>%；事业收入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万元，占0.00%；经营收入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万元，占0.00%；其他收入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万元，占0.00%。此外，使用非财政拨款结余和专用结余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万元，年初结转和结余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w:t>
      </w:r>
    </w:p>
    <w:p>
      <w:pPr>
        <w:pStyle w:val="19"/>
        <w:shd w:val="clear" w:color="auto" w:fill="FFFFFF"/>
        <w:ind w:firstLineChars="200" w:firstLine="640"/>
        <w:rPr>
          <w:rFonts w:ascii="方正仿宋_GBK" w:eastAsia="方正仿宋_GBK" w:cs="方正仿宋_GBK"/>
          <w:sz w:val="32"/>
          <w:szCs w:val="32"/>
          <w:shd w:val="clear" w:color="auto" w:fill="FFFFFF"/>
        </w:rPr>
      </w:pPr>
      <w:r>
        <w:rPr>
          <w:rStyle w:val="20"/>
          <w:rFonts w:ascii="方正仿宋_GBK" w:eastAsia="方正仿宋_GBK" w:cs="方正仿宋_GBK"/>
          <w:sz w:val="32"/>
          <w:szCs w:val="32"/>
          <w:shd w:val="clear" w:color="auto" w:fill="FFFFFF"/>
        </w:rPr>
        <w:t>3.支出情况。</w:t>
      </w:r>
      <w:r>
        <w:rPr>
          <w:rFonts w:ascii="方正仿宋_GBK" w:eastAsia="方正仿宋_GBK" w:cs="方正仿宋_GBK"/>
          <w:sz w:val="32"/>
          <w:szCs w:val="32"/>
          <w:shd w:val="clear" w:color="auto" w:fill="FFFFFF"/>
        </w:rPr>
        <w:t>2024年度支出合计</w:t>
      </w:r>
      <w:r>
        <w:rPr>
          <w:rFonts w:ascii="方正仿宋_GBK" w:eastAsia="方正仿宋_GBK" w:cs="方正仿宋_GBK"/>
          <w:sz w:val="32"/>
          <w:szCs w:val="32"/>
        </w:rPr>
        <w:t>365.70</w:t>
      </w:r>
      <w:r>
        <w:rPr>
          <w:rFonts w:ascii="方正仿宋_GBK" w:eastAsia="方正仿宋_GBK" w:cs="方正仿宋_GBK"/>
          <w:sz w:val="32"/>
          <w:szCs w:val="32"/>
          <w:shd w:val="clear" w:color="auto" w:fill="FFFFFF"/>
        </w:rPr>
        <w:t>万元，与2023年度相比，增加61.85万元，增长20.36%，主要原因是一是首席专家项目2023年是列入主管部门的，2024年列入了我单位；二是社保基数调整，增加了社保费。其中：基本支出</w:t>
      </w:r>
      <w:r>
        <w:rPr>
          <w:rFonts w:ascii="方正仿宋_GBK" w:eastAsia="方正仿宋_GBK" w:cs="方正仿宋_GBK"/>
          <w:sz w:val="32"/>
          <w:szCs w:val="32"/>
        </w:rPr>
        <w:t>300.61</w:t>
      </w:r>
      <w:r>
        <w:rPr>
          <w:rFonts w:ascii="方正仿宋_GBK" w:eastAsia="方正仿宋_GBK" w:cs="方正仿宋_GBK"/>
          <w:sz w:val="32"/>
          <w:szCs w:val="32"/>
          <w:shd w:val="clear" w:color="auto" w:fill="FFFFFF"/>
        </w:rPr>
        <w:t>万元，占82.20%；项目支出</w:t>
      </w:r>
      <w:r>
        <w:rPr>
          <w:rFonts w:ascii="方正仿宋_GBK" w:eastAsia="方正仿宋_GBK" w:cs="方正仿宋_GBK"/>
          <w:sz w:val="32"/>
          <w:szCs w:val="32"/>
        </w:rPr>
        <w:t>65.08</w:t>
      </w:r>
      <w:r>
        <w:rPr>
          <w:rFonts w:ascii="方正仿宋_GBK" w:eastAsia="方正仿宋_GBK" w:cs="方正仿宋_GBK"/>
          <w:sz w:val="32"/>
          <w:szCs w:val="32"/>
          <w:shd w:val="clear" w:color="auto" w:fill="FFFFFF"/>
        </w:rPr>
        <w:t>万元，占17.80%；经营支出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万元，占0.00%。此外，结余分配</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4.结转结余情况。</w:t>
      </w:r>
      <w:r>
        <w:rPr>
          <w:rFonts w:ascii="方正仿宋_GBK" w:eastAsia="方正仿宋_GBK" w:cs="方正仿宋_GBK"/>
          <w:sz w:val="32"/>
          <w:szCs w:val="32"/>
          <w:shd w:val="clear" w:color="auto" w:fill="FFFFFF"/>
        </w:rPr>
        <w:t>2024年度年末结转和结余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万元，与2023年度持平。</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（二）财政拨款收支总体情况</w:t>
      </w:r>
    </w:p>
    <w:p>
      <w:pPr>
        <w:pStyle w:val="19"/>
        <w:shd w:val="clear" w:color="auto" w:fill="FFFFFF"/>
        <w:ind w:firstLineChars="200" w:firstLine="640"/>
        <w:rPr>
          <w:rFonts w:ascii="方正仿宋_GBK" w:eastAsia="方正仿宋_GBK" w:cs="方正仿宋_GBK"/>
          <w:sz w:val="32"/>
          <w:szCs w:val="32"/>
        </w:rPr>
      </w:pPr>
      <w:r>
        <w:rPr>
          <w:rFonts w:ascii="方正仿宋_GBK" w:eastAsia="方正仿宋_GBK" w:cs="方正仿宋_GBK"/>
          <w:sz w:val="32"/>
          <w:szCs w:val="32"/>
          <w:shd w:val="clear" w:color="auto" w:fill="FFFFFF"/>
        </w:rPr>
        <w:t>2024年度财政拨款收入总计365.70万元、支出总计365.70万元。与2023年相比，财政拨款收、支总计各增加61.85万元，增长20.36%。主要原因是一是首席专家项目2023年是列入主管部门的，2024年列入了我单位；二是社保基数调整，增加了社保费。</w:t>
      </w:r>
    </w:p>
    <w:p>
      <w:pPr>
        <w:pStyle w:val="21"/>
        <w:numPr>
          <w:ilvl w:val="0"/>
          <w:numId w:val="1"/>
        </w:numPr>
        <w:autoSpaceDE w:val="0"/>
        <w:ind w:left="0" w:firstLineChars="0" w:firstLine="643"/>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一般公共预算财政拨款收支总体情况</w:t>
      </w:r>
    </w:p>
    <w:p>
      <w:pPr>
        <w:pStyle w:val="21"/>
        <w:autoSpaceDE w:val="0"/>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1.收入情况。</w:t>
      </w:r>
      <w:r>
        <w:rPr>
          <w:rFonts w:ascii="方正仿宋_GBK" w:eastAsia="方正仿宋_GBK" w:cs="方正仿宋_GBK" w:hint="eastAsia"/>
          <w:sz w:val="32"/>
          <w:szCs w:val="32"/>
          <w:shd w:val="clear" w:color="auto" w:fill="FFFFFF"/>
        </w:rPr>
        <w:t>2024年</w:t>
      </w:r>
      <w:r>
        <w:rPr>
          <w:rFonts w:ascii="方正仿宋_GBK" w:eastAsia="方正仿宋_GBK" w:cs="方正仿宋_GBK"/>
          <w:sz w:val="32"/>
          <w:szCs w:val="32"/>
          <w:shd w:val="clear" w:color="auto" w:fill="FFFFFF"/>
        </w:rPr>
        <w:t>度一般公共预算财政拨款收入</w:t>
      </w:r>
      <w:r>
        <w:rPr>
          <w:rFonts w:ascii="方正仿宋_GBK" w:eastAsia="方正仿宋_GBK" w:cs="方正仿宋_GBK"/>
          <w:sz w:val="32"/>
          <w:szCs w:val="32"/>
        </w:rPr>
        <w:t>365.70</w:t>
      </w:r>
      <w:r>
        <w:rPr>
          <w:rFonts w:ascii="方正仿宋_GBK" w:eastAsia="方正仿宋_GBK" w:cs="方正仿宋_GBK"/>
          <w:sz w:val="32"/>
          <w:szCs w:val="32"/>
          <w:shd w:val="clear" w:color="auto" w:fill="FFFFFF"/>
        </w:rPr>
        <w:t>万元，与2023年度相比，增加61.85万元，增长20.36%。主要原因是</w:t>
      </w:r>
      <w:r>
        <w:rPr>
          <w:rFonts w:ascii="方正仿宋_GBK" w:eastAsia="方正仿宋_GBK" w:cs="方正仿宋_GBK" w:hint="eastAsia"/>
          <w:sz w:val="32"/>
          <w:szCs w:val="32"/>
          <w:shd w:val="clear" w:color="auto" w:fill="FFFFFF"/>
        </w:rPr>
        <w:t>：一是首席专家项目2023年是列入主管部门的，2024年列入了我单位；二是社保基数调整，增加了社保费。</w:t>
      </w:r>
      <w:r>
        <w:rPr>
          <w:rFonts w:ascii="方正仿宋_GBK" w:eastAsia="方正仿宋_GBK" w:cs="方正仿宋_GBK"/>
          <w:sz w:val="32"/>
          <w:szCs w:val="32"/>
          <w:shd w:val="clear" w:color="auto" w:fill="FFFFFF"/>
        </w:rPr>
        <w:t>较年初预算数减少44.09万元，下降10.76%。主要原因是</w:t>
      </w:r>
      <w:r>
        <w:rPr>
          <w:rFonts w:ascii="方正仿宋_GBK" w:eastAsia="方正仿宋_GBK" w:cs="方正仿宋_GBK" w:hint="eastAsia"/>
          <w:color w:val="000000"/>
          <w:sz w:val="32"/>
          <w:szCs w:val="32"/>
          <w:shd w:val="clear" w:color="auto" w:fill="FFFFFF"/>
        </w:rPr>
        <w:t>首席专家项目预算120万元，由于各方面原因减少了60万元。</w:t>
      </w:r>
      <w:r>
        <w:rPr>
          <w:rFonts w:ascii="方正仿宋_GBK" w:eastAsia="方正仿宋_GBK" w:cs="方正仿宋_GBK"/>
          <w:sz w:val="32"/>
          <w:szCs w:val="32"/>
          <w:shd w:val="clear" w:color="auto" w:fill="FFFFFF"/>
        </w:rPr>
        <w:t>此外，年初财政拨款结转和结余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w:t>
      </w:r>
    </w:p>
    <w:p>
      <w:pPr>
        <w:pStyle w:val="19"/>
        <w:snapToGrid w:val="0"/>
        <w:spacing w:before="0" w:beforeAutospacing="0" w:after="0" w:afterAutospacing="0" w:line="600" w:lineRule="exact"/>
        <w:ind w:firstLineChars="200" w:firstLine="640"/>
        <w:jc w:val="both"/>
        <w:rPr>
          <w:rFonts w:ascii="方正仿宋_GBK" w:eastAsia="方正仿宋_GBK" w:cs="方正仿宋_GBK"/>
          <w:color w:val="000000"/>
          <w:sz w:val="32"/>
          <w:szCs w:val="32"/>
          <w:shd w:val="clear" w:color="auto" w:fill="FFFFFF"/>
        </w:rPr>
      </w:pPr>
      <w:r>
        <w:rPr>
          <w:rStyle w:val="20"/>
          <w:rFonts w:ascii="方正仿宋_GBK" w:eastAsia="方正仿宋_GBK" w:cs="方正仿宋_GBK"/>
          <w:sz w:val="32"/>
          <w:szCs w:val="32"/>
          <w:shd w:val="clear" w:color="auto" w:fill="FFFFFF"/>
        </w:rPr>
        <w:t>2.支出情况。</w:t>
      </w:r>
      <w:r>
        <w:rPr>
          <w:rFonts w:ascii="方正仿宋_GBK" w:eastAsia="方正仿宋_GBK" w:cs="方正仿宋_GBK"/>
          <w:sz w:val="32"/>
          <w:szCs w:val="32"/>
          <w:shd w:val="clear" w:color="auto" w:fill="FFFFFF"/>
        </w:rPr>
        <w:t>2024年度一般公共预算财政拨款支出</w:t>
      </w:r>
      <w:r>
        <w:rPr>
          <w:rFonts w:ascii="方正仿宋_GBK" w:eastAsia="方正仿宋_GBK" w:cs="方正仿宋_GBK"/>
          <w:sz w:val="32"/>
          <w:szCs w:val="32"/>
        </w:rPr>
        <w:t>365.70</w:t>
      </w:r>
      <w:r>
        <w:rPr>
          <w:rFonts w:ascii="方正仿宋_GBK" w:eastAsia="方正仿宋_GBK" w:cs="方正仿宋_GBK"/>
          <w:sz w:val="32"/>
          <w:szCs w:val="32"/>
          <w:shd w:val="clear" w:color="auto" w:fill="FFFFFF"/>
        </w:rPr>
        <w:t>万元，与2023年度相比，增加61.85万元，增长20.36%。主要原因是：一是首席专家项目2023年是列入主管部门的，2024年列入了我单位；二是社保基数调整，增加了社保费。较年初预算数减少44.09万元，下降10.76%。主要原因是要原因是</w:t>
      </w:r>
      <w:r>
        <w:rPr>
          <w:rFonts w:ascii="方正仿宋_GBK" w:eastAsia="方正仿宋_GBK" w:cs="方正仿宋_GBK"/>
          <w:color w:val="000000"/>
          <w:sz w:val="32"/>
          <w:szCs w:val="32"/>
          <w:shd w:val="clear" w:color="auto" w:fill="FFFFFF"/>
        </w:rPr>
        <w:t>首席专家项目预算120万元，由于各方面原因减少了60万元。</w:t>
      </w:r>
    </w:p>
    <w:p>
      <w:pPr>
        <w:pStyle w:val="19"/>
        <w:snapToGrid w:val="0"/>
        <w:spacing w:before="0" w:beforeAutospacing="0" w:after="0" w:afterAutospacing="0" w:line="600" w:lineRule="exact"/>
        <w:ind w:firstLineChars="200" w:firstLine="640"/>
        <w:jc w:val="both"/>
        <w:rPr>
          <w:rFonts w:ascii="方正仿宋_GBK" w:eastAsia="方正仿宋_GBK" w:cs="方正仿宋_GBK"/>
          <w:color w:val="FF0000"/>
          <w:sz w:val="32"/>
          <w:szCs w:val="32"/>
          <w:shd w:val="clear" w:color="auto" w:fill="FFFFFF"/>
        </w:rPr>
      </w:pPr>
      <w:r>
        <w:rPr>
          <w:rStyle w:val="20"/>
          <w:rFonts w:ascii="方正仿宋_GBK" w:eastAsia="方正仿宋_GBK" w:cs="方正仿宋_GBK"/>
          <w:sz w:val="32"/>
          <w:szCs w:val="32"/>
          <w:shd w:val="clear" w:color="auto" w:fill="FFFFFF"/>
        </w:rPr>
        <w:t>3.结转结余情况。</w:t>
      </w:r>
      <w:r>
        <w:rPr>
          <w:rFonts w:ascii="方正仿宋_GBK" w:eastAsia="方正仿宋_GBK" w:cs="方正仿宋_GBK"/>
          <w:sz w:val="32"/>
          <w:szCs w:val="32"/>
          <w:shd w:val="clear" w:color="auto" w:fill="FFFFFF"/>
        </w:rPr>
        <w:t>2024年度年末一般公共预算财政拨款结转和结余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万元，与2023年度相比，无增减，主要原因是</w:t>
      </w:r>
      <w:r>
        <w:rPr>
          <w:rFonts w:ascii="方正仿宋_GBK" w:eastAsia="方正仿宋_GBK" w:cs="方正仿宋_GBK"/>
          <w:color w:val="000000"/>
          <w:sz w:val="32"/>
          <w:szCs w:val="32"/>
          <w:shd w:val="clear" w:color="auto" w:fill="FFFFFF"/>
        </w:rPr>
        <w:t>2023年和2024年都没有</w:t>
      </w:r>
      <w:r>
        <w:rPr>
          <w:rFonts w:ascii="方正仿宋_GBK" w:eastAsia="方正仿宋_GBK" w:cs="方正仿宋_GBK"/>
          <w:sz w:val="32"/>
          <w:szCs w:val="32"/>
          <w:shd w:val="clear" w:color="auto" w:fill="FFFFFF"/>
        </w:rPr>
        <w:t>财政拨款结转和结余。</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Style w:val="20"/>
          <w:rFonts w:ascii="方正仿宋_GBK" w:eastAsia="方正仿宋_GBK" w:cs="方正仿宋_GBK"/>
          <w:sz w:val="32"/>
          <w:szCs w:val="32"/>
          <w:shd w:val="clear" w:color="auto" w:fill="FFFFFF"/>
        </w:rPr>
        <w:t xml:space="preserve"> 4.比较情况。</w:t>
      </w:r>
      <w:r>
        <w:rPr>
          <w:rFonts w:ascii="方正仿宋_GBK" w:eastAsia="方正仿宋_GBK" w:cs="方正仿宋_GBK"/>
          <w:sz w:val="32"/>
          <w:szCs w:val="32"/>
          <w:shd w:val="clear" w:color="auto" w:fill="FFFFFF"/>
        </w:rPr>
        <w:t>本单位2024年度一般公共预算财政拨款支出主要用于以下几个方面：</w:t>
      </w:r>
    </w:p>
    <w:p>
      <w:pPr>
        <w:pStyle w:val="19"/>
        <w:snapToGrid w:val="0"/>
        <w:spacing w:before="0" w:beforeAutospacing="0" w:after="0" w:afterAutospacing="0" w:line="600" w:lineRule="exact"/>
        <w:jc w:val="both"/>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　　（1）教育支出1.44万元，占比0.39%。较年初预算数收支平衡。</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（2）社会保障和就业支出63.89万元，占比17.47%。较年初预算数增加11.37万元，增长21.64%，主要原因是社保基数调整，增加了社保费。</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（3）卫生健康支出16.59万元，占比4.54%。较年初预算数持平。</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（4）农林水支出272.29万元，占比74.46%。较年初预算数增加55.46万元，增长16.92%，主要原因是：一是首席专家项目2023年是列入主管部门的，2024年列入了我单位；二是社保基数调整，增加了社保费。</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（5）住房保障支出11.49万元，占比3.14%。较年初预算数收支平衡。</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（四）一般公共预算财政拨款基本支出决算情况</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 2024年度一般公共财政拨款基本支出</w:t>
      </w:r>
      <w:r>
        <w:rPr>
          <w:rFonts w:ascii="方正仿宋_GBK" w:eastAsia="方正仿宋_GBK" w:cs="方正仿宋_GBK"/>
          <w:sz w:val="32"/>
          <w:szCs w:val="32"/>
        </w:rPr>
        <w:t>300.62</w:t>
      </w:r>
      <w:r>
        <w:rPr>
          <w:rFonts w:ascii="方正仿宋_GBK" w:eastAsia="方正仿宋_GBK" w:cs="方正仿宋_GBK"/>
          <w:sz w:val="32"/>
          <w:szCs w:val="32"/>
          <w:shd w:val="clear" w:color="auto" w:fill="FFFFFF"/>
        </w:rPr>
        <w:t>万元。其中：人员经费</w:t>
      </w:r>
      <w:r>
        <w:rPr>
          <w:rFonts w:ascii="方正仿宋_GBK" w:eastAsia="方正仿宋_GBK" w:cs="方正仿宋_GBK"/>
          <w:sz w:val="32"/>
          <w:szCs w:val="32"/>
        </w:rPr>
        <w:t>265.35</w:t>
      </w:r>
      <w:r>
        <w:rPr>
          <w:rFonts w:ascii="方正仿宋_GBK" w:eastAsia="方正仿宋_GBK" w:cs="方正仿宋_GBK"/>
          <w:sz w:val="32"/>
          <w:szCs w:val="32"/>
          <w:shd w:val="clear" w:color="auto" w:fill="FFFFFF"/>
        </w:rPr>
        <w:t>万元，与2023年度相比，增加7.93万元，增长3.08%，主要原因是</w:t>
      </w:r>
      <w:r>
        <w:rPr>
          <w:rFonts w:ascii="方正仿宋_GBK" w:eastAsia="方正仿宋_GBK" w:cs="方正仿宋_GBK"/>
          <w:color w:val="000000"/>
          <w:sz w:val="32"/>
          <w:szCs w:val="32"/>
          <w:shd w:val="clear" w:color="auto" w:fill="FFFFFF"/>
        </w:rPr>
        <w:t>调整薪级工资，罗瑞雪、王瑜、涂思源3人晋升岗位等级增加支出。</w:t>
      </w:r>
      <w:r>
        <w:rPr>
          <w:rFonts w:ascii="方正仿宋_GBK" w:eastAsia="方正仿宋_GBK" w:cs="方正仿宋_GBK"/>
          <w:sz w:val="32"/>
          <w:szCs w:val="32"/>
          <w:shd w:val="clear" w:color="auto" w:fill="FFFFFF"/>
        </w:rPr>
        <w:t>人员经费用途主要包括 基本工资、津贴补贴、绩效工资、机关事业单位基本养老保险费、 职业年金缴费、职工基本医疗保险缴费、  其他社会保障缴费、 住房公积金、医疗费等。公用经费</w:t>
      </w:r>
      <w:r>
        <w:rPr>
          <w:rFonts w:ascii="方正仿宋_GBK" w:eastAsia="方正仿宋_GBK" w:cs="方正仿宋_GBK"/>
          <w:sz w:val="32"/>
          <w:szCs w:val="32"/>
        </w:rPr>
        <w:t>35.27</w:t>
      </w:r>
      <w:r>
        <w:rPr>
          <w:rFonts w:ascii="方正仿宋_GBK" w:eastAsia="方正仿宋_GBK" w:cs="方正仿宋_GBK"/>
          <w:sz w:val="32"/>
          <w:szCs w:val="32"/>
          <w:shd w:val="clear" w:color="auto" w:fill="FFFFFF"/>
        </w:rPr>
        <w:t>万元，与2023年度相比，减少0.18万元，下降0.51%，主要原因是单位节省开支，尽量减少纸张使用；二是节能降碳，减少不必要的水电支出；三是减少接待，实行无公函一律不接待。公用经费用途主要包括办公费、 印刷费、水费、电费、  邮电费、 差旅费、维修（护）费、 会议费、培训费、 公务接待费、 劳务费、  工会经费、福利费、公务用车运行维护费、其他交通费用、其他商品和服务支出等。</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（五）政府性基金预算收支决算情况</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2024年度政府性基金预算财政拨款年初结转结余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万元，年末结转结余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万元。本年收入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万元，与2023年度相比，无增减，主要原因是本单位2024年无政府性基金预算财政拨款收入。本年支出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万元，与2023年度相比，无增减，主要原因是</w:t>
      </w:r>
      <w:r>
        <w:rPr>
          <w:rFonts w:ascii="方正仿宋_GBK" w:eastAsia="方正仿宋_GBK" w:cs="方正仿宋_GBK"/>
          <w:color w:val="FF0000"/>
          <w:sz w:val="32"/>
          <w:szCs w:val="32"/>
          <w:shd w:val="clear" w:color="auto" w:fill="FFFFFF"/>
        </w:rPr>
        <w:t>.</w:t>
      </w:r>
      <w:r>
        <w:rPr>
          <w:rFonts w:ascii="方正仿宋_GBK" w:eastAsia="方正仿宋_GBK" w:cs="方正仿宋_GBK"/>
          <w:sz w:val="32"/>
          <w:szCs w:val="32"/>
          <w:shd w:val="clear" w:color="auto" w:fill="FFFFFF"/>
        </w:rPr>
        <w:t>本单位2024年无政府性基金预算财政拨款支出。</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（六）国有资本经营预算财政拨款支出决算情况</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 2024年度国有资本经营预算财政拨本年支出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万元，基本支出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万元，项目支出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万元，主要原因本单位2024年无国有资本经营预算财政拨款支出。</w:t>
      </w:r>
    </w:p>
    <w:p>
      <w:pPr>
        <w:pStyle w:val="19"/>
        <w:shd w:val="clear" w:color="auto" w:fill="FFFFFF"/>
        <w:rPr>
          <w:rStyle w:val="20"/>
          <w:rFonts w:ascii="黑体" w:eastAsia="黑体" w:cs="黑体"/>
          <w:sz w:val="32"/>
          <w:szCs w:val="32"/>
          <w:shd w:val="clear" w:color="auto" w:fill="FFFFFF"/>
        </w:rPr>
      </w:pPr>
      <w:r>
        <w:rPr>
          <w:rStyle w:val="20"/>
          <w:rFonts w:ascii="黑体" w:eastAsia="黑体" w:cs="黑体"/>
          <w:sz w:val="32"/>
          <w:szCs w:val="32"/>
          <w:shd w:val="clear" w:color="auto" w:fill="FFFFFF"/>
        </w:rPr>
        <w:t>　　　三、“三公”经费情况说明</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 xml:space="preserve"> （一）“三公”经费支出总体情况说明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2024年度“三公”经费支出共计</w:t>
      </w:r>
      <w:r>
        <w:rPr>
          <w:rFonts w:ascii="方正仿宋_GBK" w:eastAsia="方正仿宋_GBK" w:cs="方正仿宋_GBK"/>
          <w:sz w:val="32"/>
          <w:szCs w:val="32"/>
        </w:rPr>
        <w:t>3.67</w:t>
      </w:r>
      <w:r>
        <w:rPr>
          <w:rFonts w:ascii="方正仿宋_GBK" w:eastAsia="方正仿宋_GBK" w:cs="方正仿宋_GBK"/>
          <w:sz w:val="32"/>
          <w:szCs w:val="32"/>
          <w:shd w:val="clear" w:color="auto" w:fill="FFFFFF"/>
        </w:rPr>
        <w:t>万元，较年初预算数减少0.33万元，下降8.25%，主要原因是实行无公函一律不接待，减少了接待费。较上年支出数减少0.98万元，下降21.08%，主要原因是厉行节约，减少接待支出和公务车辆运行。</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（二）“三公”经费分项支出情况</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2024年度本单位因公出国（境）费用</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万元，本单位2024年无因公出国（境）人员。</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 公务车购置费</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万元，本单位2024年没有公务车辆</w:t>
        <w:tab/>
        <w:t>购置。 </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公务车运行维护费</w:t>
      </w:r>
      <w:r>
        <w:rPr>
          <w:rFonts w:ascii="方正仿宋_GBK" w:eastAsia="方正仿宋_GBK" w:cs="方正仿宋_GBK"/>
          <w:sz w:val="32"/>
          <w:szCs w:val="32"/>
        </w:rPr>
        <w:t>3.00</w:t>
      </w:r>
      <w:r>
        <w:rPr>
          <w:rFonts w:ascii="方正仿宋_GBK" w:eastAsia="方正仿宋_GBK" w:cs="方正仿宋_GBK"/>
          <w:sz w:val="32"/>
          <w:szCs w:val="32"/>
          <w:shd w:val="clear" w:color="auto" w:fill="FFFFFF"/>
        </w:rPr>
        <w:t>万元，主要用于</w:t>
      </w:r>
      <w:r>
        <w:rPr>
          <w:rFonts w:ascii="方正仿宋_GBK" w:eastAsia="方正仿宋_GBK" w:cs="方正仿宋_GBK"/>
          <w:color w:val="000000"/>
          <w:sz w:val="32"/>
          <w:szCs w:val="32"/>
          <w:shd w:val="clear" w:color="auto" w:fill="FFFFFF"/>
        </w:rPr>
        <w:t>公务用车加油、保险、保养、洗车、过路（桥）、停车等</w:t>
      </w:r>
      <w:r>
        <w:rPr>
          <w:rFonts w:ascii="方正仿宋_GBK" w:eastAsia="方正仿宋_GBK" w:cs="方正仿宋_GBK"/>
          <w:sz w:val="32"/>
          <w:szCs w:val="32"/>
          <w:shd w:val="clear" w:color="auto" w:fill="FFFFFF"/>
        </w:rPr>
        <w:t>费用支出。较年初预算数持平。较上年支出数减少0.65万元，下降17.81%，主要原因是</w:t>
      </w:r>
      <w:r>
        <w:rPr>
          <w:rFonts w:ascii="方正仿宋_GBK" w:eastAsia="方正仿宋_GBK" w:cs="方正仿宋_GBK"/>
          <w:color w:val="000000"/>
          <w:sz w:val="32"/>
          <w:szCs w:val="32"/>
          <w:shd w:val="clear" w:color="auto" w:fill="FFFFFF"/>
        </w:rPr>
        <w:t>单位厉行节约，减少公务车辆运行费。</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 公务接待费</w:t>
      </w:r>
      <w:r>
        <w:rPr>
          <w:rFonts w:ascii="方正仿宋_GBK" w:eastAsia="方正仿宋_GBK" w:cs="方正仿宋_GBK"/>
          <w:sz w:val="32"/>
          <w:szCs w:val="32"/>
        </w:rPr>
        <w:t>0.67</w:t>
      </w:r>
      <w:r>
        <w:rPr>
          <w:rFonts w:ascii="方正仿宋_GBK" w:eastAsia="方正仿宋_GBK" w:cs="方正仿宋_GBK"/>
          <w:sz w:val="32"/>
          <w:szCs w:val="32"/>
          <w:shd w:val="clear" w:color="auto" w:fill="FFFFFF"/>
        </w:rPr>
        <w:t>万元，主要用于接待</w:t>
      </w:r>
      <w:r>
        <w:rPr>
          <w:rFonts w:ascii="方正仿宋_GBK" w:eastAsia="方正仿宋_GBK" w:cs="方正仿宋_GBK"/>
          <w:color w:val="000000"/>
          <w:sz w:val="32"/>
          <w:szCs w:val="32"/>
          <w:shd w:val="clear" w:color="auto" w:fill="FFFFFF"/>
        </w:rPr>
        <w:t>市农业农村委调研数字乡村智慧农业和指导核心业务梳理一件事谋划、市农业信息中心关于农业信息化率数据质量检查、重庆航天宏图信息公司关于策划编制“和美乡村”三张清单等。费</w:t>
      </w:r>
      <w:r>
        <w:rPr>
          <w:rFonts w:ascii="方正仿宋_GBK" w:eastAsia="方正仿宋_GBK" w:cs="方正仿宋_GBK"/>
          <w:sz w:val="32"/>
          <w:szCs w:val="32"/>
          <w:shd w:val="clear" w:color="auto" w:fill="FFFFFF"/>
        </w:rPr>
        <w:t>用支出较年初预算数减少0.33万元，下降33.00%，主要原因是实行无公函一律不接待，减少了接待费。较上年支出数减少0.33万元，下降33.00%，主要原因是实行无公函一律不接待，减少了接待费。</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（三）“三公”经费实物量情况</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  2024年度本单位因公出国（境）共计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个团组，</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人；公务用车购置</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辆，公务车保有量为</w:t>
      </w:r>
      <w:r>
        <w:rPr>
          <w:rFonts w:ascii="方正仿宋_GBK" w:eastAsia="方正仿宋_GBK" w:cs="方正仿宋_GBK"/>
          <w:sz w:val="32"/>
          <w:szCs w:val="32"/>
        </w:rPr>
        <w:t>1</w:t>
      </w:r>
      <w:r>
        <w:rPr>
          <w:rFonts w:ascii="方正仿宋_GBK" w:eastAsia="方正仿宋_GBK" w:cs="方正仿宋_GBK"/>
          <w:sz w:val="32"/>
          <w:szCs w:val="32"/>
          <w:shd w:val="clear" w:color="auto" w:fill="FFFFFF"/>
        </w:rPr>
        <w:t>辆；国内公务接待</w:t>
      </w:r>
      <w:r>
        <w:rPr>
          <w:rFonts w:ascii="方正仿宋_GBK" w:eastAsia="方正仿宋_GBK" w:cs="方正仿宋_GBK"/>
          <w:sz w:val="32"/>
          <w:szCs w:val="32"/>
        </w:rPr>
        <w:t>6</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71</w:t>
      </w:r>
      <w:r>
        <w:rPr>
          <w:rFonts w:ascii="方正仿宋_GBK" w:eastAsia="方正仿宋_GBK" w:cs="方正仿宋_GBK"/>
          <w:sz w:val="32"/>
          <w:szCs w:val="32"/>
          <w:shd w:val="clear" w:color="auto" w:fill="FFFFFF"/>
        </w:rPr>
        <w:t>人，其中：国内外事接待</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人；国（境）外公务接待</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人。2024年本单位人均接待费</w:t>
      </w:r>
      <w:r>
        <w:rPr>
          <w:rFonts w:ascii="方正仿宋_GBK" w:eastAsia="方正仿宋_GBK" w:cs="方正仿宋_GBK"/>
          <w:sz w:val="32"/>
          <w:szCs w:val="32"/>
        </w:rPr>
        <w:t>95.00</w:t>
      </w:r>
      <w:r>
        <w:rPr>
          <w:rFonts w:ascii="方正仿宋_GBK" w:eastAsia="方正仿宋_GBK" w:cs="方正仿宋_GBK"/>
          <w:sz w:val="32"/>
          <w:szCs w:val="32"/>
          <w:shd w:val="clear" w:color="auto" w:fill="FFFFFF"/>
        </w:rPr>
        <w:t>元，车均购置费</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万元，车均维护费</w:t>
      </w:r>
      <w:r>
        <w:rPr>
          <w:rFonts w:ascii="方正仿宋_GBK" w:eastAsia="方正仿宋_GBK" w:cs="方正仿宋_GBK"/>
          <w:sz w:val="32"/>
          <w:szCs w:val="32"/>
        </w:rPr>
        <w:t>3.00</w:t>
      </w:r>
      <w:r>
        <w:rPr>
          <w:rFonts w:ascii="方正仿宋_GBK" w:eastAsia="方正仿宋_GBK" w:cs="方正仿宋_GBK"/>
          <w:sz w:val="32"/>
          <w:szCs w:val="32"/>
          <w:shd w:val="clear" w:color="auto" w:fill="FFFFFF"/>
        </w:rPr>
        <w:t>万元。</w:t>
      </w:r>
    </w:p>
    <w:p>
      <w:pPr>
        <w:pStyle w:val="19"/>
        <w:shd w:val="clear" w:color="auto" w:fill="FFFFFF"/>
        <w:rPr>
          <w:rStyle w:val="20"/>
          <w:rFonts w:ascii="方正仿宋_GBK" w:eastAsia="方正仿宋_GBK" w:cs="方正仿宋_GBK"/>
          <w:sz w:val="32"/>
          <w:szCs w:val="32"/>
          <w:shd w:val="clear" w:color="auto" w:fill="FFFFFF"/>
        </w:rPr>
      </w:pPr>
      <w:r>
        <w:rPr>
          <w:rStyle w:val="20"/>
          <w:rFonts w:ascii="黑体" w:eastAsia="黑体" w:cs="黑体"/>
          <w:sz w:val="32"/>
          <w:szCs w:val="32"/>
          <w:shd w:val="clear" w:color="auto" w:fill="FFFFFF"/>
        </w:rPr>
        <w:t>　　　　四、其他需要说明的事项</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  （一）财政拨款会议费和培训费情况</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  本年度会议费支出</w:t>
      </w:r>
      <w:r>
        <w:rPr>
          <w:rFonts w:ascii="方正仿宋_GBK" w:eastAsia="方正仿宋_GBK" w:cs="方正仿宋_GBK"/>
          <w:sz w:val="32"/>
          <w:szCs w:val="32"/>
        </w:rPr>
        <w:t>0.32</w:t>
      </w:r>
      <w:r>
        <w:rPr>
          <w:rFonts w:ascii="方正仿宋_GBK" w:eastAsia="方正仿宋_GBK" w:cs="方正仿宋_GBK"/>
          <w:sz w:val="32"/>
          <w:szCs w:val="32"/>
          <w:shd w:val="clear" w:color="auto" w:fill="FFFFFF"/>
        </w:rPr>
        <w:t>万元，与2023年度相比，增加0.20万元，增长166.67%，主要原因是单位承担了</w:t>
      </w:r>
      <w:r>
        <w:rPr>
          <w:rFonts w:ascii="方正仿宋_GBK" w:eastAsia="方正仿宋_GBK" w:cs="方正仿宋_GBK"/>
          <w:color w:val="000000"/>
          <w:sz w:val="32"/>
          <w:szCs w:val="32"/>
          <w:shd w:val="clear" w:color="auto" w:fill="FFFFFF"/>
        </w:rPr>
        <w:t>智慧农业和核心业务梳理一件事谋划工作而增加了会议费</w:t>
      </w:r>
      <w:r>
        <w:rPr>
          <w:rFonts w:ascii="方正仿宋_GBK" w:eastAsia="方正仿宋_GBK" w:cs="方正仿宋_GBK"/>
          <w:sz w:val="32"/>
          <w:szCs w:val="32"/>
          <w:shd w:val="clear" w:color="auto" w:fill="FFFFFF"/>
        </w:rPr>
        <w:t>。本年度培训费支出</w:t>
      </w:r>
      <w:r>
        <w:rPr>
          <w:rFonts w:ascii="方正仿宋_GBK" w:eastAsia="方正仿宋_GBK" w:cs="方正仿宋_GBK"/>
          <w:sz w:val="32"/>
          <w:szCs w:val="32"/>
        </w:rPr>
        <w:t>1.81</w:t>
      </w:r>
      <w:r>
        <w:rPr>
          <w:rFonts w:ascii="方正仿宋_GBK" w:eastAsia="方正仿宋_GBK" w:cs="方正仿宋_GBK"/>
          <w:sz w:val="32"/>
          <w:szCs w:val="32"/>
          <w:shd w:val="clear" w:color="auto" w:fill="FFFFFF"/>
        </w:rPr>
        <w:t>万元，与2023年度相比，增加0.52万元，增长40.31%，主要原因是培训数字重庆“一张清单”人员100多人面增加了培训费。</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（二）机关运行经费情况</w:t>
      </w:r>
    </w:p>
    <w:p>
      <w:pPr>
        <w:pStyle w:val="19"/>
        <w:snapToGrid w:val="0"/>
        <w:spacing w:before="0" w:beforeAutospacing="0" w:after="0" w:afterAutospacing="0" w:line="600" w:lineRule="exact"/>
        <w:jc w:val="both"/>
        <w:rPr>
          <w:rFonts w:ascii="方正仿宋_GBK" w:eastAsia="方正仿宋_GBK" w:cs="方正仿宋_GBK"/>
          <w:color w:val="FF0000"/>
          <w:sz w:val="32"/>
          <w:szCs w:val="32"/>
        </w:rPr>
      </w:pPr>
      <w:r>
        <w:rPr>
          <w:rFonts w:ascii="方正仿宋_GBK" w:eastAsia="方正仿宋_GBK" w:cs="方正仿宋_GBK"/>
          <w:color w:val="000000"/>
          <w:sz w:val="32"/>
          <w:szCs w:val="32"/>
        </w:rPr>
        <w:t>　　</w:t>
      </w:r>
      <w:r>
        <w:rPr>
          <w:rFonts w:ascii="方正仿宋_GBK" w:eastAsia="方正仿宋_GBK" w:cs="方正仿宋_GBK"/>
          <w:color w:val="000000"/>
          <w:sz w:val="32"/>
          <w:szCs w:val="32"/>
        </w:rPr>
        <w:t>按照部门决算列报口径，我单位不在机关运行经费统计范围之内。</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（三）国有资产占用情况说明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  截至2024年12月31日，本单位共有车辆</w:t>
      </w:r>
      <w:r>
        <w:rPr>
          <w:rFonts w:ascii="方正仿宋_GBK" w:eastAsia="方正仿宋_GBK" w:cs="方正仿宋_GBK"/>
          <w:sz w:val="32"/>
          <w:szCs w:val="32"/>
        </w:rPr>
        <w:t>1</w:t>
      </w:r>
      <w:r>
        <w:rPr>
          <w:rFonts w:ascii="方正仿宋_GBK" w:eastAsia="方正仿宋_GBK" w:cs="方正仿宋_GBK"/>
          <w:sz w:val="32"/>
          <w:szCs w:val="32"/>
          <w:shd w:val="clear" w:color="auto" w:fill="FFFFFF"/>
        </w:rPr>
        <w:t>辆，其中，副部（省）级及以上领导用车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辆、主要负责人用车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辆、机要通信用车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辆、应急保障用车</w:t>
      </w:r>
      <w:r>
        <w:rPr>
          <w:rFonts w:ascii="方正仿宋_GBK" w:eastAsia="方正仿宋_GBK" w:cs="方正仿宋_GBK"/>
          <w:sz w:val="32"/>
          <w:szCs w:val="32"/>
        </w:rPr>
        <w:t>1</w:t>
      </w:r>
      <w:r>
        <w:rPr>
          <w:rFonts w:ascii="方正仿宋_GBK" w:eastAsia="方正仿宋_GBK" w:cs="方正仿宋_GBK"/>
          <w:sz w:val="32"/>
          <w:szCs w:val="32"/>
          <w:shd w:val="clear" w:color="auto" w:fill="FFFFFF"/>
        </w:rPr>
        <w:t>辆、执法执勤用车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辆，特种专业技术用车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辆，离退休干部用车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辆。单价100万元（含）以上专用设备</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台（套）。</w:t>
      </w:r>
    </w:p>
    <w:p>
      <w:pPr>
        <w:pStyle w:val="21"/>
        <w:numPr>
          <w:ilvl w:val="0"/>
          <w:numId w:val="1"/>
        </w:numPr>
        <w:autoSpaceDE w:val="0"/>
        <w:ind w:left="0" w:firstLineChars="0" w:firstLine="643"/>
        <w:rPr>
          <w:rFonts w:ascii="楷体" w:eastAsia="楷体" w:cs="楷体"/>
          <w:b/>
          <w:bCs/>
          <w:sz w:val="32"/>
          <w:szCs w:val="32"/>
          <w:shd w:val="clear" w:color="auto" w:fill="FFFFFF"/>
        </w:rPr>
      </w:pPr>
      <w:r>
        <w:rPr>
          <w:rFonts w:ascii="楷体" w:eastAsia="楷体" w:cs="楷体" w:hint="eastAsia"/>
          <w:b/>
          <w:bCs/>
          <w:sz w:val="32"/>
          <w:szCs w:val="32"/>
          <w:shd w:val="clear" w:color="auto" w:fill="FFFFFF"/>
        </w:rPr>
        <w:t>政府采购支出情况说明</w:t>
      </w:r>
    </w:p>
    <w:p>
      <w:pPr>
        <w:pStyle w:val="21"/>
        <w:autoSpaceDE w:val="0"/>
        <w:rPr>
          <w:rFonts w:ascii="方正仿宋_GBK" w:eastAsia="方正仿宋_GBK" w:cs="方正仿宋_GBK"/>
          <w:color w:val="000000"/>
          <w:sz w:val="32"/>
          <w:szCs w:val="32"/>
          <w:shd w:val="clear" w:color="auto" w:fill="FFFFFF"/>
        </w:rPr>
      </w:pPr>
      <w:r>
        <w:rPr>
          <w:rFonts w:ascii="方正仿宋_GBK" w:eastAsia="方正仿宋_GBK" w:cs="方正仿宋_GBK" w:hint="eastAsia"/>
          <w:sz w:val="32"/>
          <w:szCs w:val="32"/>
          <w:shd w:val="clear" w:color="auto" w:fill="FFFFFF"/>
        </w:rPr>
        <w:t>2024年</w:t>
      </w:r>
      <w:r>
        <w:rPr>
          <w:rFonts w:ascii="方正仿宋_GBK" w:eastAsia="方正仿宋_GBK" w:cs="方正仿宋_GBK"/>
          <w:sz w:val="32"/>
          <w:szCs w:val="32"/>
          <w:shd w:val="clear" w:color="auto" w:fill="FFFFFF"/>
        </w:rPr>
        <w:t>度本单位政府采购支出总额</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万元，其中：政府采购货物支出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万元、政府采购工程支出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万元、政府采购服务支出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万元。授予中小企业合同金额</w:t>
      </w:r>
      <w:r>
        <w:rPr>
          <w:rFonts w:ascii="方正仿宋_GBK" w:eastAsia="方正仿宋_GBK" w:cs="方正仿宋_GBK"/>
          <w:sz w:val="32"/>
          <w:szCs w:val="32"/>
        </w:rPr>
        <w:t>0.00万</w:t>
      </w:r>
      <w:r>
        <w:rPr>
          <w:rFonts w:ascii="方正仿宋_GBK" w:eastAsia="方正仿宋_GBK" w:cs="方正仿宋_GBK"/>
          <w:sz w:val="32"/>
          <w:szCs w:val="32"/>
          <w:shd w:val="clear" w:color="auto" w:fill="FFFFFF"/>
        </w:rPr>
        <w:t>元，占政府采购支出总额的</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%，其中：授予小微企业合同金额</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万元，占政府采购支出总额的</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 xml:space="preserve"> %。</w:t>
      </w:r>
      <w:r>
        <w:rPr>
          <w:rFonts w:ascii="方正仿宋_GBK" w:eastAsia="方正仿宋_GBK" w:cs="方正仿宋_GBK" w:hint="eastAsia"/>
          <w:color w:val="000000"/>
          <w:sz w:val="32"/>
          <w:szCs w:val="32"/>
          <w:shd w:val="clear" w:color="auto" w:fill="FFFFFF"/>
        </w:rPr>
        <w:t>2024年</w:t>
      </w:r>
      <w:r>
        <w:rPr>
          <w:rFonts w:ascii="方正仿宋_GBK" w:eastAsia="方正仿宋_GBK" w:cs="方正仿宋_GBK"/>
          <w:color w:val="000000"/>
          <w:sz w:val="32"/>
          <w:szCs w:val="32"/>
          <w:shd w:val="clear" w:color="auto" w:fill="FFFFFF"/>
        </w:rPr>
        <w:t>度我单位未发生政府采购事项，无相关经费支出。</w:t>
      </w:r>
    </w:p>
    <w:p>
      <w:pPr>
        <w:pStyle w:val="19"/>
        <w:shd w:val="clear" w:color="auto" w:fill="FFFFFF"/>
        <w:rPr>
          <w:rStyle w:val="20"/>
          <w:rFonts w:ascii="黑体" w:eastAsia="黑体" w:cs="黑体"/>
          <w:sz w:val="32"/>
          <w:szCs w:val="32"/>
          <w:shd w:val="clear" w:color="auto" w:fill="FFFFFF"/>
        </w:rPr>
      </w:pPr>
      <w:r>
        <w:rPr>
          <w:rStyle w:val="20"/>
          <w:rFonts w:ascii="黑体" w:eastAsia="黑体" w:cs="黑体"/>
          <w:sz w:val="32"/>
          <w:szCs w:val="32"/>
          <w:shd w:val="clear" w:color="auto" w:fill="FFFFFF"/>
        </w:rPr>
        <w:t>　　　五、预算绩效管理情况</w:t>
      </w:r>
    </w:p>
    <w:p>
      <w:pPr>
        <w:pStyle w:val="19"/>
        <w:adjustRightInd w:val="0"/>
        <w:spacing w:before="0" w:beforeAutospacing="0" w:after="0" w:afterAutospacing="0" w:line="579" w:lineRule="exact"/>
        <w:ind w:firstLineChars="200" w:firstLine="640"/>
        <w:outlineLvl w:val="1"/>
        <w:rPr>
          <w:rStyle w:val="26"/>
          <w:rFonts w:ascii="宋体" w:eastAsia="方正楷体_GBK" w:cs="方正楷体_GBK" w:hAnsi="宋体" w:hint="eastAsia"/>
          <w:b w:val="0"/>
          <w:bCs/>
          <w:kern w:val="2"/>
          <w:sz w:val="32"/>
          <w:szCs w:val="32"/>
          <w:shd w:val="clear" w:color="auto" w:fill="FFFFFF"/>
        </w:rPr>
      </w:pPr>
      <w:r>
        <w:rPr>
          <w:rStyle w:val="26"/>
          <w:rFonts w:ascii="宋体" w:eastAsia="方正楷体_GBK" w:cs="方正楷体_GBK" w:hAnsi="宋体" w:hint="eastAsia"/>
          <w:b w:val="0"/>
          <w:bCs/>
          <w:kern w:val="2"/>
          <w:sz w:val="32"/>
          <w:szCs w:val="32"/>
          <w:shd w:val="clear" w:color="auto" w:fill="FFFFFF"/>
        </w:rPr>
        <w:t>（一）预算绩效管理工作开展情况</w:t>
      </w:r>
    </w:p>
    <w:p>
      <w:pPr>
        <w:pStyle w:val="19"/>
        <w:adjustRightInd w:val="0"/>
        <w:spacing w:before="0" w:beforeAutospacing="0" w:after="0" w:afterAutospacing="0" w:line="579" w:lineRule="exact"/>
        <w:ind w:firstLineChars="200" w:firstLine="640"/>
        <w:outlineLvl w:val="1"/>
        <w:rPr>
          <w:rFonts w:cs="方正仿宋_GBK"/>
        </w:rPr>
      </w:pPr>
      <w:r>
        <w:rPr>
          <w:rFonts w:eastAsia="方正仿宋_GBK" w:cs="方正仿宋_GBK"/>
          <w:sz w:val="32"/>
          <w:szCs w:val="32"/>
        </w:rPr>
        <w:t>根据预算绩效管理要求，我中心以填报目标自评表形式开展自评1项，涉及资金5万元。以委托第三方形式开展绩效自评0项，涉及资金0万元。</w:t>
      </w:r>
    </w:p>
    <w:p>
      <w:pPr>
        <w:pStyle w:val="19"/>
        <w:adjustRightInd w:val="0"/>
        <w:spacing w:before="0" w:beforeAutospacing="0" w:after="0" w:afterAutospacing="0" w:line="579" w:lineRule="exact"/>
        <w:ind w:firstLineChars="200" w:firstLine="640"/>
        <w:outlineLvl w:val="1"/>
        <w:rPr>
          <w:rStyle w:val="26"/>
          <w:rFonts w:ascii="宋体" w:eastAsia="方正楷体_GBK" w:cs="方正楷体_GBK" w:hAnsi="宋体" w:hint="eastAsia"/>
          <w:b w:val="0"/>
          <w:bCs/>
          <w:kern w:val="2"/>
          <w:sz w:val="32"/>
          <w:szCs w:val="32"/>
          <w:shd w:val="clear" w:color="auto" w:fill="FFFFFF"/>
        </w:rPr>
      </w:pPr>
      <w:r>
        <w:rPr>
          <w:rStyle w:val="26"/>
          <w:rFonts w:ascii="宋体" w:eastAsia="方正楷体_GBK" w:cs="方正楷体_GBK" w:hAnsi="宋体" w:hint="eastAsia"/>
          <w:b w:val="0"/>
          <w:bCs/>
          <w:kern w:val="2"/>
          <w:sz w:val="32"/>
          <w:szCs w:val="32"/>
          <w:shd w:val="clear" w:color="auto" w:fill="FFFFFF"/>
        </w:rPr>
        <w:t>（二）绩效自评结果</w:t>
      </w:r>
    </w:p>
    <w:p>
      <w:pPr>
        <w:pStyle w:val="19"/>
        <w:adjustRightInd w:val="0"/>
        <w:spacing w:before="0" w:beforeAutospacing="0" w:after="0" w:afterAutospacing="0" w:line="579" w:lineRule="exact"/>
        <w:ind w:firstLineChars="200" w:firstLine="640"/>
        <w:rPr>
          <w:rFonts w:cs="方正仿宋_GBK"/>
          <w:b/>
          <w:bCs/>
          <w:sz w:val="32"/>
        </w:rPr>
      </w:pPr>
      <w:r>
        <w:rPr>
          <w:rFonts w:cs="方正仿宋_GBK"/>
          <w:b/>
          <w:bCs/>
          <w:sz w:val="32"/>
        </w:rPr>
        <w:t>1. 绩效目标自评表</w:t>
      </w:r>
    </w:p>
    <w:p>
      <w:pPr>
        <w:pStyle w:val="25"/>
        <w:tabs>
          <w:tab w:val="center" w:pos="4153"/>
          <w:tab w:val="left" w:pos="7275"/>
        </w:tabs>
        <w:spacing w:line="579" w:lineRule="exact"/>
        <w:rPr>
          <w:rFonts w:eastAsia="方正仿宋_GBK" w:cs="方正仿宋_GBK"/>
          <w:sz w:val="32"/>
          <w:szCs w:val="32"/>
        </w:rPr>
      </w:pPr>
      <w:r>
        <w:rPr>
          <w:rFonts w:eastAsia="方正仿宋_GBK" w:cs="方正仿宋_GBK"/>
          <w:sz w:val="32"/>
          <w:szCs w:val="32"/>
        </w:rPr>
        <w:t>（1）公开范围。本单位无重点专项项目，对非在编人员经费1个一般性项目绩效自评表进行公开。</w:t>
      </w:r>
    </w:p>
    <w:p>
      <w:pPr>
        <w:pStyle w:val="21"/>
        <w:autoSpaceDE w:val="0"/>
        <w:rPr>
          <w:rFonts w:eastAsia="方正仿宋_GBK" w:cs="方正仿宋_GBK"/>
          <w:sz w:val="32"/>
          <w:szCs w:val="32"/>
        </w:rPr>
      </w:pPr>
      <w:r>
        <w:rPr>
          <w:rFonts w:eastAsia="方正仿宋_GBK" w:cs="方正仿宋_GBK" w:hint="eastAsia"/>
          <w:sz w:val="32"/>
          <w:szCs w:val="32"/>
        </w:rPr>
        <w:t>（2）公开内容。详见表格。</w:t>
      </w:r>
    </w:p>
    <w:p>
      <w:pPr>
        <w:pStyle w:val="21"/>
        <w:autoSpaceDE w:val="0"/>
        <w:rPr>
          <w:rFonts w:eastAsia="方正仿宋_GBK" w:cs="方正仿宋_GBK"/>
          <w:sz w:val="32"/>
          <w:szCs w:val="32"/>
        </w:rPr>
      </w:pPr>
      <w:r>
        <w:rPr>
          <w:rFonts w:ascii="方正黑体_GBK" w:eastAsia="方正黑体_GBK" w:cs="方正黑体_GBK" w:hint="eastAsia"/>
          <w:color w:val="000000"/>
          <w:sz w:val="36"/>
          <w:szCs w:val="36"/>
        </w:rPr>
        <w:t>　　　　2024年度二级项目效自评表</w:t>
      </w:r>
    </w:p>
    <w:tbl>
      <w:tblPr>
        <w:jc w:val="center"/>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1"/>
        <w:gridCol w:w="1476"/>
        <w:gridCol w:w="534"/>
        <w:gridCol w:w="588"/>
        <w:gridCol w:w="132"/>
        <w:gridCol w:w="611"/>
        <w:gridCol w:w="109"/>
        <w:gridCol w:w="975"/>
        <w:gridCol w:w="915"/>
        <w:gridCol w:w="644"/>
        <w:gridCol w:w="1099"/>
        <w:gridCol w:w="1099"/>
        <w:gridCol w:w="1345"/>
      </w:tblGrid>
      <w:tr>
        <w:trPr>
          <w:trHeight w:hRule="exact" w:val="569"/>
        </w:trPr>
        <w:tc>
          <w:tcPr>
            <w:tcW w:w="851"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项目名称</w:t>
            </w:r>
          </w:p>
        </w:tc>
        <w:tc>
          <w:tcPr>
            <w:tcW w:w="4425" w:type="dxa"/>
            <w:gridSpan w:val="7"/>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非在编人员经费</w:t>
            </w:r>
          </w:p>
        </w:tc>
        <w:tc>
          <w:tcPr>
            <w:tcW w:w="915" w:type="dxa"/>
            <w:noWrap/>
            <w:vAlign w:val="center"/>
          </w:tcPr>
          <w:p>
            <w:pPr>
              <w:spacing w:line="579" w:lineRule="exact"/>
              <w:rPr>
                <w:rFonts w:ascii="方正仿宋_GBK" w:eastAsia="方正仿宋_GBK" w:cs="方正仿宋_GBK"/>
                <w:color w:val="000000"/>
                <w:sz w:val="15"/>
                <w:szCs w:val="15"/>
              </w:rPr>
            </w:pPr>
            <w:r>
              <w:rPr>
                <w:rFonts w:ascii="方正仿宋_GBK" w:eastAsia="方正仿宋_GBK" w:cs="方正仿宋_GBK"/>
                <w:color w:val="000000"/>
                <w:sz w:val="15"/>
                <w:szCs w:val="15"/>
              </w:rPr>
              <w:t>自评总分（分）</w:t>
            </w:r>
          </w:p>
        </w:tc>
        <w:tc>
          <w:tcPr>
            <w:tcW w:w="4187" w:type="dxa"/>
            <w:gridSpan w:val="4"/>
            <w:noWrap/>
            <w:vAlign w:val="center"/>
          </w:tcPr>
          <w:p>
            <w:pPr>
              <w:spacing w:line="579" w:lineRule="exact"/>
              <w:rPr>
                <w:rFonts w:ascii="方正仿宋_GBK" w:eastAsia="方正仿宋_GBK" w:cs="方正仿宋_GBK"/>
                <w:color w:val="000000"/>
                <w:sz w:val="15"/>
                <w:szCs w:val="15"/>
              </w:rPr>
            </w:pPr>
            <w:r>
              <w:rPr>
                <w:rFonts w:ascii="方正仿宋_GBK" w:eastAsia="方正仿宋_GBK" w:cs="方正仿宋_GBK"/>
                <w:color w:val="000000"/>
                <w:sz w:val="15"/>
                <w:szCs w:val="15"/>
              </w:rPr>
              <w:t>100</w:t>
            </w:r>
          </w:p>
        </w:tc>
      </w:tr>
      <w:tr>
        <w:trPr>
          <w:trHeight w:hRule="exact" w:val="1099"/>
        </w:trPr>
        <w:tc>
          <w:tcPr>
            <w:tcW w:w="851"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项目主管</w:t>
            </w:r>
          </w:p>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部门</w:t>
            </w:r>
          </w:p>
        </w:tc>
        <w:tc>
          <w:tcPr>
            <w:tcW w:w="2598" w:type="dxa"/>
            <w:gridSpan w:val="3"/>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重庆市江津区农业农村委员会</w:t>
            </w:r>
          </w:p>
        </w:tc>
        <w:tc>
          <w:tcPr>
            <w:tcW w:w="743" w:type="dxa"/>
            <w:gridSpan w:val="2"/>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财政归口科室</w:t>
            </w:r>
          </w:p>
        </w:tc>
        <w:tc>
          <w:tcPr>
            <w:tcW w:w="1084" w:type="dxa"/>
            <w:gridSpan w:val="2"/>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农业农村科</w:t>
            </w:r>
          </w:p>
        </w:tc>
        <w:tc>
          <w:tcPr>
            <w:tcW w:w="915"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部门</w:t>
            </w:r>
          </w:p>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联系人</w:t>
            </w:r>
          </w:p>
        </w:tc>
        <w:tc>
          <w:tcPr>
            <w:tcW w:w="644"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曾宇</w:t>
            </w:r>
          </w:p>
        </w:tc>
        <w:tc>
          <w:tcPr>
            <w:tcW w:w="1099"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联系电话</w:t>
            </w:r>
          </w:p>
        </w:tc>
        <w:tc>
          <w:tcPr>
            <w:tcW w:w="2444" w:type="dxa"/>
            <w:gridSpan w:val="2"/>
            <w:noWrap/>
            <w:vAlign w:val="center"/>
          </w:tcPr>
          <w:p>
            <w:pPr>
              <w:spacing w:line="579" w:lineRule="exact"/>
              <w:rPr>
                <w:rFonts w:ascii="方正仿宋_GBK" w:eastAsia="方正仿宋_GBK" w:cs="方正仿宋_GBK"/>
                <w:color w:val="000000"/>
                <w:sz w:val="15"/>
                <w:szCs w:val="15"/>
              </w:rPr>
            </w:pPr>
            <w:r>
              <w:rPr>
                <w:rFonts w:ascii="方正仿宋_GBK" w:eastAsia="方正仿宋_GBK" w:cs="方正仿宋_GBK"/>
                <w:color w:val="000000"/>
                <w:sz w:val="15"/>
                <w:szCs w:val="15"/>
              </w:rPr>
              <w:t>47521148</w:t>
            </w:r>
          </w:p>
        </w:tc>
      </w:tr>
      <w:tr>
        <w:trPr>
          <w:trHeight w:hRule="exact" w:val="1182"/>
        </w:trPr>
        <w:tc>
          <w:tcPr>
            <w:tcW w:w="851" w:type="dxa"/>
            <w:vMerge w:val="restart"/>
            <w:noWrap/>
            <w:textDirection w:val="tbRlV"/>
            <w:vAlign w:val="center"/>
          </w:tcPr>
          <w:p>
            <w:pPr>
              <w:spacing w:line="579" w:lineRule="exact"/>
              <w:ind w:left="113" w:right="113"/>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项目资金（万元）</w:t>
            </w:r>
          </w:p>
        </w:tc>
        <w:tc>
          <w:tcPr>
            <w:tcW w:w="2598" w:type="dxa"/>
            <w:gridSpan w:val="3"/>
            <w:vMerge w:val="restart"/>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年度总金额</w:t>
            </w:r>
          </w:p>
        </w:tc>
        <w:tc>
          <w:tcPr>
            <w:tcW w:w="743" w:type="dxa"/>
            <w:gridSpan w:val="2"/>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年初</w:t>
            </w:r>
          </w:p>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预算数</w:t>
            </w:r>
          </w:p>
        </w:tc>
        <w:tc>
          <w:tcPr>
            <w:tcW w:w="1084" w:type="dxa"/>
            <w:gridSpan w:val="2"/>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全年（调整）预算数</w:t>
            </w:r>
          </w:p>
        </w:tc>
        <w:tc>
          <w:tcPr>
            <w:tcW w:w="1559" w:type="dxa"/>
            <w:gridSpan w:val="2"/>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全年执行数</w:t>
            </w:r>
          </w:p>
        </w:tc>
        <w:tc>
          <w:tcPr>
            <w:tcW w:w="1099"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执行率</w:t>
            </w:r>
          </w:p>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w:t>
            </w:r>
          </w:p>
        </w:tc>
        <w:tc>
          <w:tcPr>
            <w:tcW w:w="1099"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执行率</w:t>
            </w:r>
          </w:p>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权重</w:t>
            </w:r>
          </w:p>
        </w:tc>
        <w:tc>
          <w:tcPr>
            <w:tcW w:w="1345"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执行率</w:t>
            </w:r>
          </w:p>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得分</w:t>
            </w:r>
          </w:p>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（分）</w:t>
            </w:r>
          </w:p>
        </w:tc>
      </w:tr>
      <w:tr>
        <w:trPr>
          <w:trHeight w:val="494"/>
        </w:trPr>
        <w:tc>
          <w:tcPr>
            <w:tcW w:w="851" w:type="dxa"/>
            <w:vMerge/>
            <w:noWrap/>
            <w:vAlign w:val="center"/>
          </w:tcPr>
          <w:p/>
        </w:tc>
        <w:tc>
          <w:tcPr>
            <w:tcW w:w="2598" w:type="dxa"/>
            <w:gridSpan w:val="3"/>
            <w:vMerge/>
            <w:noWrap/>
            <w:vAlign w:val="center"/>
          </w:tcPr>
          <w:p/>
        </w:tc>
        <w:tc>
          <w:tcPr>
            <w:tcW w:w="743" w:type="dxa"/>
            <w:gridSpan w:val="2"/>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5</w:t>
            </w:r>
          </w:p>
        </w:tc>
        <w:tc>
          <w:tcPr>
            <w:tcW w:w="1084" w:type="dxa"/>
            <w:gridSpan w:val="2"/>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5</w:t>
            </w:r>
          </w:p>
        </w:tc>
        <w:tc>
          <w:tcPr>
            <w:tcW w:w="1559" w:type="dxa"/>
            <w:gridSpan w:val="2"/>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5</w:t>
            </w:r>
          </w:p>
        </w:tc>
        <w:tc>
          <w:tcPr>
            <w:tcW w:w="1099"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100</w:t>
            </w:r>
          </w:p>
        </w:tc>
        <w:tc>
          <w:tcPr>
            <w:tcW w:w="1099" w:type="dxa"/>
            <w:noWrap/>
            <w:vAlign w:val="center"/>
          </w:tcPr>
          <w:p>
            <w:pPr>
              <w:spacing w:line="579" w:lineRule="exact"/>
              <w:jc w:val="center"/>
              <w:rPr>
                <w:rFonts w:ascii="方正仿宋_GBK" w:eastAsia="方正仿宋_GBK" w:cs="方正仿宋_GBK"/>
                <w:sz w:val="15"/>
                <w:szCs w:val="15"/>
              </w:rPr>
            </w:pPr>
            <w:r>
              <w:rPr>
                <w:rFonts w:ascii="方正仿宋_GBK" w:eastAsia="方正仿宋_GBK" w:cs="方正仿宋_GBK"/>
                <w:sz w:val="15"/>
                <w:szCs w:val="15"/>
              </w:rPr>
              <w:t>10</w:t>
            </w:r>
          </w:p>
        </w:tc>
        <w:tc>
          <w:tcPr>
            <w:tcW w:w="1345"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10</w:t>
            </w:r>
          </w:p>
        </w:tc>
      </w:tr>
      <w:tr>
        <w:trPr>
          <w:trHeight w:val="374"/>
        </w:trPr>
        <w:tc>
          <w:tcPr>
            <w:tcW w:w="851" w:type="dxa"/>
            <w:vMerge/>
            <w:noWrap/>
            <w:vAlign w:val="center"/>
          </w:tcPr>
          <w:p/>
        </w:tc>
        <w:tc>
          <w:tcPr>
            <w:tcW w:w="2598" w:type="dxa"/>
            <w:gridSpan w:val="3"/>
            <w:noWrap/>
            <w:vAlign w:val="center"/>
          </w:tcPr>
          <w:p>
            <w:pPr>
              <w:spacing w:line="579" w:lineRule="exact"/>
              <w:rPr>
                <w:rFonts w:ascii="方正仿宋_GBK" w:eastAsia="方正仿宋_GBK" w:cs="方正仿宋_GBK"/>
                <w:color w:val="000000"/>
                <w:sz w:val="15"/>
                <w:szCs w:val="15"/>
              </w:rPr>
            </w:pPr>
            <w:r>
              <w:rPr>
                <w:rFonts w:ascii="方正仿宋_GBK" w:eastAsia="方正仿宋_GBK" w:cs="方正仿宋_GBK"/>
                <w:color w:val="000000"/>
                <w:sz w:val="15"/>
                <w:szCs w:val="15"/>
              </w:rPr>
              <w:t>其中：财政拨款</w:t>
            </w:r>
          </w:p>
        </w:tc>
        <w:tc>
          <w:tcPr>
            <w:tcW w:w="743" w:type="dxa"/>
            <w:gridSpan w:val="2"/>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5</w:t>
            </w:r>
          </w:p>
        </w:tc>
        <w:tc>
          <w:tcPr>
            <w:tcW w:w="1084" w:type="dxa"/>
            <w:gridSpan w:val="2"/>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5</w:t>
            </w:r>
          </w:p>
        </w:tc>
        <w:tc>
          <w:tcPr>
            <w:tcW w:w="1559" w:type="dxa"/>
            <w:gridSpan w:val="2"/>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5</w:t>
            </w:r>
          </w:p>
        </w:tc>
        <w:tc>
          <w:tcPr>
            <w:tcW w:w="1099"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100</w:t>
            </w:r>
          </w:p>
        </w:tc>
        <w:tc>
          <w:tcPr>
            <w:tcW w:w="1099"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10</w:t>
            </w:r>
          </w:p>
        </w:tc>
        <w:tc>
          <w:tcPr>
            <w:tcW w:w="1345"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10</w:t>
            </w:r>
          </w:p>
        </w:tc>
      </w:tr>
      <w:tr>
        <w:trPr>
          <w:trHeight w:val="567"/>
        </w:trPr>
        <w:tc>
          <w:tcPr>
            <w:tcW w:w="851" w:type="dxa"/>
            <w:vMerge w:val="restart"/>
            <w:noWrap/>
            <w:vAlign w:val="center"/>
          </w:tcPr>
          <w:p>
            <w:pPr>
              <w:spacing w:line="579" w:lineRule="exact"/>
              <w:rPr>
                <w:rFonts w:ascii="方正仿宋_GBK" w:eastAsia="方正仿宋_GBK" w:cs="方正仿宋_GBK"/>
                <w:color w:val="000000"/>
                <w:sz w:val="15"/>
                <w:szCs w:val="15"/>
              </w:rPr>
            </w:pPr>
            <w:r>
              <w:rPr>
                <w:rFonts w:ascii="方正仿宋_GBK" w:eastAsia="方正仿宋_GBK" w:cs="方正仿宋_GBK"/>
                <w:color w:val="000000"/>
                <w:sz w:val="15"/>
                <w:szCs w:val="15"/>
              </w:rPr>
              <w:t>当年绩效目标</w:t>
            </w:r>
          </w:p>
        </w:tc>
        <w:tc>
          <w:tcPr>
            <w:tcW w:w="3450" w:type="dxa"/>
            <w:gridSpan w:val="6"/>
            <w:noWrap/>
            <w:vAlign w:val="center"/>
          </w:tcPr>
          <w:p>
            <w:pPr>
              <w:spacing w:line="579" w:lineRule="exact"/>
              <w:rPr>
                <w:rFonts w:ascii="方正仿宋_GBK" w:eastAsia="方正仿宋_GBK" w:cs="方正仿宋_GBK"/>
                <w:color w:val="000000"/>
                <w:sz w:val="15"/>
                <w:szCs w:val="15"/>
              </w:rPr>
            </w:pPr>
            <w:r>
              <w:rPr>
                <w:rFonts w:ascii="方正仿宋_GBK" w:eastAsia="方正仿宋_GBK" w:cs="方正仿宋_GBK"/>
                <w:color w:val="000000"/>
                <w:sz w:val="15"/>
                <w:szCs w:val="15"/>
              </w:rPr>
              <w:t>年初绩效目标</w:t>
            </w:r>
          </w:p>
        </w:tc>
        <w:tc>
          <w:tcPr>
            <w:tcW w:w="2534" w:type="dxa"/>
            <w:gridSpan w:val="3"/>
            <w:noWrap/>
            <w:vAlign w:val="center"/>
          </w:tcPr>
          <w:p>
            <w:pPr>
              <w:spacing w:line="579" w:lineRule="exact"/>
              <w:rPr>
                <w:rFonts w:ascii="方正仿宋_GBK" w:eastAsia="方正仿宋_GBK" w:cs="方正仿宋_GBK"/>
                <w:color w:val="000000"/>
                <w:sz w:val="15"/>
                <w:szCs w:val="15"/>
              </w:rPr>
            </w:pPr>
            <w:r>
              <w:rPr>
                <w:rFonts w:ascii="方正仿宋_GBK" w:eastAsia="方正仿宋_GBK" w:cs="方正仿宋_GBK"/>
                <w:color w:val="000000"/>
                <w:sz w:val="15"/>
                <w:szCs w:val="15"/>
              </w:rPr>
              <w:t>全年（调整）绩效目标</w:t>
            </w:r>
          </w:p>
        </w:tc>
        <w:tc>
          <w:tcPr>
            <w:tcW w:w="3543" w:type="dxa"/>
            <w:gridSpan w:val="3"/>
            <w:noWrap/>
            <w:vAlign w:val="center"/>
          </w:tcPr>
          <w:p>
            <w:pPr>
              <w:spacing w:line="579" w:lineRule="exact"/>
              <w:rPr>
                <w:rFonts w:ascii="方正仿宋_GBK" w:eastAsia="方正仿宋_GBK" w:cs="方正仿宋_GBK"/>
                <w:color w:val="000000"/>
                <w:sz w:val="15"/>
                <w:szCs w:val="15"/>
              </w:rPr>
            </w:pPr>
            <w:r>
              <w:rPr>
                <w:rFonts w:ascii="方正仿宋_GBK" w:eastAsia="方正仿宋_GBK" w:cs="方正仿宋_GBK"/>
                <w:color w:val="000000"/>
                <w:sz w:val="15"/>
                <w:szCs w:val="15"/>
              </w:rPr>
              <w:t>全年目标实际完成情况</w:t>
            </w:r>
          </w:p>
        </w:tc>
      </w:tr>
      <w:tr>
        <w:trPr>
          <w:trHeight w:val="567"/>
        </w:trPr>
        <w:tc>
          <w:tcPr>
            <w:tcW w:w="851" w:type="dxa"/>
            <w:vMerge/>
            <w:noWrap/>
            <w:vAlign w:val="center"/>
          </w:tcPr>
          <w:p/>
        </w:tc>
        <w:tc>
          <w:tcPr>
            <w:tcW w:w="3450" w:type="dxa"/>
            <w:gridSpan w:val="6"/>
            <w:noWrap/>
            <w:vAlign w:val="center"/>
          </w:tcPr>
          <w:p>
            <w:pPr>
              <w:spacing w:line="579" w:lineRule="exact"/>
              <w:rPr>
                <w:rFonts w:ascii="方正仿宋_GBK" w:eastAsia="方正仿宋_GBK" w:cs="方正仿宋_GBK"/>
                <w:color w:val="000000"/>
                <w:sz w:val="15"/>
                <w:szCs w:val="15"/>
              </w:rPr>
            </w:pPr>
            <w:r>
              <w:rPr>
                <w:rFonts w:ascii="方正仿宋_GBK" w:eastAsia="方正仿宋_GBK" w:cs="方正仿宋_GBK"/>
                <w:color w:val="000000"/>
                <w:sz w:val="15"/>
                <w:szCs w:val="15"/>
              </w:rPr>
              <w:t>保障公车安全运行，解决就业人员1人</w:t>
            </w:r>
          </w:p>
        </w:tc>
        <w:tc>
          <w:tcPr>
            <w:tcW w:w="2534" w:type="dxa"/>
            <w:gridSpan w:val="3"/>
            <w:noWrap/>
            <w:vAlign w:val="center"/>
          </w:tcPr>
          <w:p>
            <w:pPr>
              <w:spacing w:line="579" w:lineRule="exact"/>
              <w:rPr>
                <w:rFonts w:ascii="方正仿宋_GBK" w:eastAsia="方正仿宋_GBK" w:cs="方正仿宋_GBK"/>
                <w:color w:val="000000"/>
                <w:sz w:val="15"/>
                <w:szCs w:val="15"/>
              </w:rPr>
            </w:pPr>
          </w:p>
        </w:tc>
        <w:tc>
          <w:tcPr>
            <w:tcW w:w="3543" w:type="dxa"/>
            <w:gridSpan w:val="3"/>
            <w:noWrap/>
            <w:vAlign w:val="center"/>
          </w:tcPr>
          <w:p>
            <w:pPr>
              <w:spacing w:line="579" w:lineRule="exact"/>
              <w:rPr>
                <w:rFonts w:ascii="方正仿宋_GBK" w:eastAsia="方正仿宋_GBK" w:cs="方正仿宋_GBK"/>
                <w:color w:val="000000"/>
                <w:sz w:val="15"/>
                <w:szCs w:val="15"/>
              </w:rPr>
            </w:pPr>
            <w:r>
              <w:rPr>
                <w:rFonts w:ascii="方正仿宋_GBK" w:eastAsia="方正仿宋_GBK" w:cs="方正仿宋_GBK"/>
                <w:color w:val="000000"/>
                <w:sz w:val="15"/>
                <w:szCs w:val="15"/>
              </w:rPr>
              <w:t>全年已完成目标，解决就业促进和谐社会</w:t>
            </w:r>
            <w:bookmarkStart w:id="0" w:name="_GoBack"/>
            <w:bookmarkEnd w:id="0"/>
            <w:r>
              <w:rPr>
                <w:rFonts w:ascii="方正仿宋_GBK" w:eastAsia="方正仿宋_GBK" w:cs="方正仿宋_GBK"/>
                <w:color w:val="000000"/>
                <w:sz w:val="15"/>
                <w:szCs w:val="15"/>
              </w:rPr>
              <w:t>90%</w:t>
            </w:r>
          </w:p>
        </w:tc>
      </w:tr>
      <w:tr>
        <w:trPr>
          <w:trHeight w:val="567"/>
        </w:trPr>
        <w:tc>
          <w:tcPr>
            <w:tcW w:w="851" w:type="dxa"/>
            <w:vMerge w:val="restart"/>
            <w:noWrap/>
            <w:textDirection w:val="tbRlV"/>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绩效指标</w:t>
            </w:r>
          </w:p>
        </w:tc>
        <w:tc>
          <w:tcPr>
            <w:tcW w:w="1476"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指标</w:t>
            </w:r>
          </w:p>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名称</w:t>
            </w:r>
          </w:p>
        </w:tc>
        <w:tc>
          <w:tcPr>
            <w:tcW w:w="534"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计量</w:t>
            </w:r>
          </w:p>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单位</w:t>
            </w:r>
          </w:p>
        </w:tc>
        <w:tc>
          <w:tcPr>
            <w:tcW w:w="720" w:type="dxa"/>
            <w:gridSpan w:val="2"/>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指标</w:t>
            </w:r>
          </w:p>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性质</w:t>
            </w:r>
          </w:p>
        </w:tc>
        <w:tc>
          <w:tcPr>
            <w:tcW w:w="720" w:type="dxa"/>
            <w:gridSpan w:val="2"/>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指标</w:t>
            </w:r>
          </w:p>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值</w:t>
            </w:r>
          </w:p>
        </w:tc>
        <w:tc>
          <w:tcPr>
            <w:tcW w:w="975"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全年</w:t>
            </w:r>
          </w:p>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完成值</w:t>
            </w:r>
          </w:p>
        </w:tc>
        <w:tc>
          <w:tcPr>
            <w:tcW w:w="915"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偏离度（%）</w:t>
            </w:r>
          </w:p>
        </w:tc>
        <w:tc>
          <w:tcPr>
            <w:tcW w:w="644"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得分</w:t>
            </w:r>
          </w:p>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系数</w:t>
            </w:r>
          </w:p>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w:t>
            </w:r>
          </w:p>
        </w:tc>
        <w:tc>
          <w:tcPr>
            <w:tcW w:w="1099"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指标</w:t>
            </w:r>
          </w:p>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权重</w:t>
            </w:r>
          </w:p>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（分）</w:t>
            </w:r>
          </w:p>
        </w:tc>
        <w:tc>
          <w:tcPr>
            <w:tcW w:w="1099"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指标得分</w:t>
            </w:r>
          </w:p>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（分）</w:t>
            </w:r>
          </w:p>
        </w:tc>
        <w:tc>
          <w:tcPr>
            <w:tcW w:w="1345" w:type="dxa"/>
            <w:noWrap/>
            <w:vAlign w:val="center"/>
          </w:tcPr>
          <w:p>
            <w:pPr>
              <w:spacing w:line="579" w:lineRule="exact"/>
              <w:jc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说明</w:t>
            </w:r>
          </w:p>
        </w:tc>
      </w:tr>
      <w:tr>
        <w:trPr>
          <w:trHeight w:val="567"/>
        </w:trPr>
        <w:tc>
          <w:tcPr>
            <w:tcW w:w="851" w:type="dxa"/>
            <w:vMerge/>
            <w:noWrap/>
            <w:vAlign w:val="center"/>
          </w:tcPr>
          <w:p/>
        </w:tc>
        <w:tc>
          <w:tcPr>
            <w:tcW w:w="1476" w:type="dxa"/>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解决就业人员</w:t>
            </w:r>
          </w:p>
        </w:tc>
        <w:tc>
          <w:tcPr>
            <w:tcW w:w="534" w:type="dxa"/>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人</w:t>
            </w:r>
          </w:p>
        </w:tc>
        <w:tc>
          <w:tcPr>
            <w:tcW w:w="720" w:type="dxa"/>
            <w:gridSpan w:val="2"/>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w:t>
            </w:r>
          </w:p>
        </w:tc>
        <w:tc>
          <w:tcPr>
            <w:tcW w:w="720" w:type="dxa"/>
            <w:gridSpan w:val="2"/>
            <w:noWrap/>
            <w:vAlign w:val="center"/>
          </w:tcPr>
          <w:p>
            <w:pPr>
              <w:ind w:right="160"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1</w:t>
            </w:r>
          </w:p>
        </w:tc>
        <w:tc>
          <w:tcPr>
            <w:tcW w:w="975" w:type="dxa"/>
            <w:noWrap/>
            <w:vAlign w:val="center"/>
          </w:tcPr>
          <w:p>
            <w:pPr>
              <w:ind w:firstLineChars="100" w:firstLine="150"/>
              <w:jc w:val="center"/>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1</w:t>
            </w:r>
          </w:p>
        </w:tc>
        <w:tc>
          <w:tcPr>
            <w:tcW w:w="915" w:type="dxa"/>
            <w:noWrap/>
            <w:vAlign w:val="center"/>
          </w:tcPr>
          <w:p>
            <w:pPr>
              <w:ind w:firstLineChars="100" w:firstLine="150"/>
              <w:jc w:val="center"/>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0</w:t>
            </w:r>
          </w:p>
        </w:tc>
        <w:tc>
          <w:tcPr>
            <w:tcW w:w="644" w:type="dxa"/>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100</w:t>
            </w:r>
          </w:p>
        </w:tc>
        <w:tc>
          <w:tcPr>
            <w:tcW w:w="1099" w:type="dxa"/>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20</w:t>
            </w:r>
          </w:p>
        </w:tc>
        <w:tc>
          <w:tcPr>
            <w:tcW w:w="1099" w:type="dxa"/>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20</w:t>
            </w:r>
          </w:p>
        </w:tc>
        <w:tc>
          <w:tcPr>
            <w:tcW w:w="1345" w:type="dxa"/>
            <w:noWrap/>
            <w:vAlign w:val="center"/>
          </w:tcPr>
          <w:p>
            <w:pPr>
              <w:ind w:firstLineChars="100" w:firstLine="150"/>
              <w:textAlignment w:val="center"/>
              <w:rPr>
                <w:rFonts w:ascii="方正仿宋_GBK" w:eastAsia="方正仿宋_GBK" w:cs="方正仿宋_GBK"/>
                <w:color w:val="000000"/>
                <w:sz w:val="15"/>
                <w:szCs w:val="15"/>
              </w:rPr>
            </w:pPr>
          </w:p>
        </w:tc>
      </w:tr>
      <w:tr>
        <w:trPr>
          <w:trHeight w:val="567"/>
        </w:trPr>
        <w:tc>
          <w:tcPr>
            <w:tcW w:w="851" w:type="dxa"/>
            <w:vMerge/>
            <w:noWrap/>
            <w:vAlign w:val="center"/>
          </w:tcPr>
          <w:p/>
        </w:tc>
        <w:tc>
          <w:tcPr>
            <w:tcW w:w="1476" w:type="dxa"/>
            <w:noWrap/>
            <w:vAlign w:val="center"/>
          </w:tcPr>
          <w:p>
            <w:pPr>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解决就业促进社会和谐</w:t>
            </w:r>
          </w:p>
        </w:tc>
        <w:tc>
          <w:tcPr>
            <w:tcW w:w="534" w:type="dxa"/>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w:t>
            </w:r>
          </w:p>
        </w:tc>
        <w:tc>
          <w:tcPr>
            <w:tcW w:w="720" w:type="dxa"/>
            <w:gridSpan w:val="2"/>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w:t>
            </w:r>
          </w:p>
        </w:tc>
        <w:tc>
          <w:tcPr>
            <w:tcW w:w="720" w:type="dxa"/>
            <w:gridSpan w:val="2"/>
            <w:noWrap/>
            <w:vAlign w:val="center"/>
          </w:tcPr>
          <w:p>
            <w:pPr>
              <w:ind w:firstLineChars="100" w:firstLine="150"/>
              <w:jc w:val="center"/>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90</w:t>
            </w:r>
          </w:p>
        </w:tc>
        <w:tc>
          <w:tcPr>
            <w:tcW w:w="975" w:type="dxa"/>
            <w:noWrap/>
            <w:vAlign w:val="center"/>
          </w:tcPr>
          <w:p>
            <w:pPr>
              <w:ind w:firstLineChars="100" w:firstLine="150"/>
              <w:jc w:val="center"/>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90</w:t>
            </w:r>
          </w:p>
        </w:tc>
        <w:tc>
          <w:tcPr>
            <w:tcW w:w="915" w:type="dxa"/>
            <w:noWrap/>
            <w:vAlign w:val="center"/>
          </w:tcPr>
          <w:p>
            <w:pPr>
              <w:ind w:firstLineChars="100" w:firstLine="150"/>
              <w:jc w:val="center"/>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0</w:t>
            </w:r>
          </w:p>
        </w:tc>
        <w:tc>
          <w:tcPr>
            <w:tcW w:w="644" w:type="dxa"/>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100</w:t>
            </w:r>
          </w:p>
        </w:tc>
        <w:tc>
          <w:tcPr>
            <w:tcW w:w="1099" w:type="dxa"/>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20</w:t>
            </w:r>
          </w:p>
        </w:tc>
        <w:tc>
          <w:tcPr>
            <w:tcW w:w="1099" w:type="dxa"/>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20</w:t>
            </w:r>
          </w:p>
        </w:tc>
        <w:tc>
          <w:tcPr>
            <w:tcW w:w="1345" w:type="dxa"/>
            <w:noWrap/>
            <w:vAlign w:val="center"/>
          </w:tcPr>
          <w:p>
            <w:pPr>
              <w:ind w:firstLineChars="100" w:firstLine="150"/>
              <w:textAlignment w:val="center"/>
              <w:rPr>
                <w:rFonts w:ascii="方正仿宋_GBK" w:eastAsia="方正仿宋_GBK" w:cs="方正仿宋_GBK"/>
                <w:color w:val="000000"/>
                <w:sz w:val="15"/>
                <w:szCs w:val="15"/>
              </w:rPr>
            </w:pPr>
          </w:p>
        </w:tc>
      </w:tr>
      <w:tr>
        <w:trPr>
          <w:trHeight w:val="567"/>
        </w:trPr>
        <w:tc>
          <w:tcPr>
            <w:tcW w:w="851" w:type="dxa"/>
            <w:vMerge/>
            <w:noWrap/>
            <w:vAlign w:val="center"/>
          </w:tcPr>
          <w:p/>
        </w:tc>
        <w:tc>
          <w:tcPr>
            <w:tcW w:w="1476" w:type="dxa"/>
            <w:noWrap/>
            <w:vAlign w:val="center"/>
          </w:tcPr>
          <w:p>
            <w:pPr>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保证公车安全运行</w:t>
            </w:r>
          </w:p>
        </w:tc>
        <w:tc>
          <w:tcPr>
            <w:tcW w:w="534" w:type="dxa"/>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件</w:t>
            </w:r>
          </w:p>
        </w:tc>
        <w:tc>
          <w:tcPr>
            <w:tcW w:w="720" w:type="dxa"/>
            <w:gridSpan w:val="2"/>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定性</w:t>
            </w:r>
          </w:p>
        </w:tc>
        <w:tc>
          <w:tcPr>
            <w:tcW w:w="720" w:type="dxa"/>
            <w:gridSpan w:val="2"/>
            <w:noWrap/>
            <w:vAlign w:val="center"/>
          </w:tcPr>
          <w:p>
            <w:pPr>
              <w:ind w:firstLineChars="100" w:firstLine="150"/>
              <w:jc w:val="center"/>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0</w:t>
            </w:r>
          </w:p>
        </w:tc>
        <w:tc>
          <w:tcPr>
            <w:tcW w:w="975" w:type="dxa"/>
            <w:noWrap/>
            <w:vAlign w:val="center"/>
          </w:tcPr>
          <w:p>
            <w:pPr>
              <w:ind w:firstLineChars="100" w:firstLine="150"/>
              <w:jc w:val="center"/>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全部完成</w:t>
            </w:r>
          </w:p>
        </w:tc>
        <w:tc>
          <w:tcPr>
            <w:tcW w:w="915" w:type="dxa"/>
            <w:noWrap/>
            <w:vAlign w:val="center"/>
          </w:tcPr>
          <w:p>
            <w:pPr>
              <w:ind w:firstLineChars="100" w:firstLine="150"/>
              <w:jc w:val="center"/>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0</w:t>
            </w:r>
          </w:p>
        </w:tc>
        <w:tc>
          <w:tcPr>
            <w:tcW w:w="644" w:type="dxa"/>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100</w:t>
            </w:r>
          </w:p>
        </w:tc>
        <w:tc>
          <w:tcPr>
            <w:tcW w:w="1099" w:type="dxa"/>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40</w:t>
            </w:r>
          </w:p>
        </w:tc>
        <w:tc>
          <w:tcPr>
            <w:tcW w:w="1099" w:type="dxa"/>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40</w:t>
            </w:r>
          </w:p>
        </w:tc>
        <w:tc>
          <w:tcPr>
            <w:tcW w:w="1345" w:type="dxa"/>
            <w:noWrap/>
            <w:vAlign w:val="center"/>
          </w:tcPr>
          <w:p>
            <w:pPr>
              <w:ind w:firstLineChars="100" w:firstLine="150"/>
              <w:textAlignment w:val="center"/>
              <w:rPr>
                <w:rFonts w:ascii="方正仿宋_GBK" w:eastAsia="方正仿宋_GBK" w:cs="方正仿宋_GBK"/>
                <w:color w:val="000000"/>
                <w:sz w:val="15"/>
                <w:szCs w:val="15"/>
              </w:rPr>
            </w:pPr>
          </w:p>
        </w:tc>
      </w:tr>
      <w:tr>
        <w:trPr>
          <w:trHeight w:val="567"/>
        </w:trPr>
        <w:tc>
          <w:tcPr>
            <w:tcW w:w="851" w:type="dxa"/>
            <w:vMerge/>
            <w:noWrap/>
            <w:vAlign w:val="center"/>
          </w:tcPr>
          <w:p/>
        </w:tc>
        <w:tc>
          <w:tcPr>
            <w:tcW w:w="1476" w:type="dxa"/>
            <w:noWrap/>
            <w:vAlign w:val="center"/>
          </w:tcPr>
          <w:p>
            <w:pPr>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单位派车用车人员无意见</w:t>
            </w:r>
          </w:p>
        </w:tc>
        <w:tc>
          <w:tcPr>
            <w:tcW w:w="534" w:type="dxa"/>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条</w:t>
            </w:r>
          </w:p>
        </w:tc>
        <w:tc>
          <w:tcPr>
            <w:tcW w:w="720" w:type="dxa"/>
            <w:gridSpan w:val="2"/>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定性</w:t>
            </w:r>
          </w:p>
        </w:tc>
        <w:tc>
          <w:tcPr>
            <w:tcW w:w="720" w:type="dxa"/>
            <w:gridSpan w:val="2"/>
            <w:noWrap/>
            <w:vAlign w:val="center"/>
          </w:tcPr>
          <w:p>
            <w:pPr>
              <w:ind w:firstLineChars="100" w:firstLine="150"/>
              <w:jc w:val="center"/>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无意见</w:t>
            </w:r>
          </w:p>
        </w:tc>
        <w:tc>
          <w:tcPr>
            <w:tcW w:w="975" w:type="dxa"/>
            <w:noWrap/>
            <w:vAlign w:val="center"/>
          </w:tcPr>
          <w:p>
            <w:pPr>
              <w:ind w:firstLineChars="100" w:firstLine="150"/>
              <w:jc w:val="center"/>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全部完成</w:t>
            </w:r>
          </w:p>
        </w:tc>
        <w:tc>
          <w:tcPr>
            <w:tcW w:w="915" w:type="dxa"/>
            <w:noWrap/>
            <w:vAlign w:val="center"/>
          </w:tcPr>
          <w:p>
            <w:pPr>
              <w:ind w:firstLineChars="100" w:firstLine="150"/>
              <w:jc w:val="center"/>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0</w:t>
            </w:r>
          </w:p>
        </w:tc>
        <w:tc>
          <w:tcPr>
            <w:tcW w:w="644" w:type="dxa"/>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100</w:t>
            </w:r>
          </w:p>
        </w:tc>
        <w:tc>
          <w:tcPr>
            <w:tcW w:w="1099" w:type="dxa"/>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10</w:t>
            </w:r>
          </w:p>
        </w:tc>
        <w:tc>
          <w:tcPr>
            <w:tcW w:w="1099" w:type="dxa"/>
            <w:noWrap/>
            <w:vAlign w:val="center"/>
          </w:tcPr>
          <w:p>
            <w:pPr>
              <w:ind w:firstLineChars="100" w:firstLine="150"/>
              <w:textAlignment w:val="center"/>
              <w:rPr>
                <w:rFonts w:ascii="方正仿宋_GBK" w:eastAsia="方正仿宋_GBK" w:cs="方正仿宋_GBK"/>
                <w:color w:val="000000"/>
                <w:sz w:val="15"/>
                <w:szCs w:val="15"/>
              </w:rPr>
            </w:pPr>
            <w:r>
              <w:rPr>
                <w:rFonts w:ascii="方正仿宋_GBK" w:eastAsia="方正仿宋_GBK" w:cs="方正仿宋_GBK"/>
                <w:color w:val="000000"/>
                <w:sz w:val="15"/>
                <w:szCs w:val="15"/>
              </w:rPr>
              <w:t>10</w:t>
            </w:r>
          </w:p>
        </w:tc>
        <w:tc>
          <w:tcPr>
            <w:tcW w:w="1345" w:type="dxa"/>
            <w:noWrap/>
            <w:vAlign w:val="center"/>
          </w:tcPr>
          <w:p>
            <w:pPr>
              <w:ind w:firstLineChars="100" w:firstLine="150"/>
              <w:textAlignment w:val="center"/>
              <w:rPr>
                <w:rFonts w:ascii="方正仿宋_GBK" w:eastAsia="方正仿宋_GBK" w:cs="方正仿宋_GBK"/>
                <w:color w:val="000000"/>
                <w:sz w:val="15"/>
                <w:szCs w:val="15"/>
              </w:rPr>
            </w:pPr>
          </w:p>
        </w:tc>
      </w:tr>
    </w:tbl>
    <w:p>
      <w:pPr>
        <w:pStyle w:val="25"/>
        <w:numPr>
          <w:ilvl w:val="0"/>
          <w:numId w:val="2"/>
        </w:numPr>
        <w:tabs>
          <w:tab w:val="center" w:pos="4153"/>
          <w:tab w:val="left" w:pos="7275"/>
        </w:tabs>
        <w:spacing w:line="579" w:lineRule="exact"/>
        <w:ind w:left="0" w:firstLineChars="0" w:firstLine="643"/>
        <w:rPr>
          <w:rFonts w:cs="方正仿宋_GBK"/>
          <w:b/>
          <w:sz w:val="32"/>
          <w:szCs w:val="32"/>
        </w:rPr>
      </w:pPr>
      <w:r>
        <w:rPr>
          <w:rFonts w:cs="方正仿宋_GBK"/>
          <w:b/>
          <w:sz w:val="32"/>
          <w:szCs w:val="32"/>
        </w:rPr>
        <w:t>绩效自评报告或案例</w:t>
      </w:r>
    </w:p>
    <w:p>
      <w:pPr>
        <w:pStyle w:val="25"/>
        <w:tabs>
          <w:tab w:val="center" w:pos="4153"/>
          <w:tab w:val="left" w:pos="7275"/>
        </w:tabs>
        <w:spacing w:line="579" w:lineRule="exact"/>
        <w:rPr>
          <w:rFonts w:cs="方正仿宋_GBK"/>
          <w:sz w:val="32"/>
          <w:szCs w:val="32"/>
        </w:rPr>
      </w:pPr>
      <w:r>
        <w:rPr>
          <w:rFonts w:eastAsia="方正仿宋_GBK" w:cs="方正仿宋_GBK"/>
          <w:sz w:val="32"/>
          <w:szCs w:val="32"/>
        </w:rPr>
        <w:t>本单位无此事项。</w:t>
      </w:r>
    </w:p>
    <w:p>
      <w:pPr>
        <w:pStyle w:val="25"/>
        <w:numPr>
          <w:ilvl w:val="0"/>
          <w:numId w:val="2"/>
        </w:numPr>
        <w:tabs>
          <w:tab w:val="center" w:pos="4153"/>
          <w:tab w:val="left" w:pos="7275"/>
        </w:tabs>
        <w:spacing w:line="579" w:lineRule="exact"/>
        <w:ind w:left="0" w:firstLineChars="0" w:firstLine="643"/>
        <w:rPr>
          <w:rFonts w:cs="方正仿宋_GBK"/>
          <w:b/>
          <w:bCs/>
          <w:color w:val="000000"/>
          <w:sz w:val="32"/>
          <w:szCs w:val="32"/>
        </w:rPr>
      </w:pPr>
      <w:r>
        <w:rPr>
          <w:rFonts w:cs="方正仿宋_GBK"/>
          <w:b/>
          <w:bCs/>
          <w:color w:val="000000"/>
          <w:sz w:val="32"/>
          <w:szCs w:val="32"/>
        </w:rPr>
        <w:t>关于绩效自评结果的说明</w:t>
      </w:r>
    </w:p>
    <w:p>
      <w:pPr>
        <w:pStyle w:val="25"/>
        <w:tabs>
          <w:tab w:val="center" w:pos="4153"/>
          <w:tab w:val="left" w:pos="7275"/>
        </w:tabs>
        <w:spacing w:line="579" w:lineRule="exact"/>
        <w:rPr>
          <w:rFonts w:eastAsia="方正仿宋_GBK" w:cs="方正仿宋_GBK"/>
          <w:sz w:val="32"/>
          <w:szCs w:val="32"/>
        </w:rPr>
      </w:pPr>
      <w:r>
        <w:rPr>
          <w:rFonts w:eastAsia="方正仿宋_GBK" w:cs="方正仿宋_GBK"/>
          <w:sz w:val="32"/>
          <w:szCs w:val="32"/>
        </w:rPr>
        <w:t>本单位无此事项。</w:t>
      </w:r>
    </w:p>
    <w:p>
      <w:pPr>
        <w:pStyle w:val="25"/>
        <w:tabs>
          <w:tab w:val="center" w:pos="4153"/>
          <w:tab w:val="left" w:pos="7275"/>
        </w:tabs>
        <w:spacing w:line="579" w:lineRule="exact"/>
        <w:rPr>
          <w:rFonts w:eastAsia="方正楷体_GBK" w:cs="方正楷体_GBK"/>
          <w:color w:val="333333"/>
          <w:sz w:val="32"/>
          <w:szCs w:val="32"/>
        </w:rPr>
      </w:pPr>
      <w:r>
        <w:rPr>
          <w:rFonts w:eastAsia="方正楷体_GBK" w:cs="方正楷体_GBK"/>
          <w:color w:val="333333"/>
          <w:sz w:val="32"/>
          <w:szCs w:val="32"/>
        </w:rPr>
        <w:t>（三）重点绩效评价结果</w:t>
      </w:r>
    </w:p>
    <w:p>
      <w:pPr>
        <w:pStyle w:val="25"/>
        <w:tabs>
          <w:tab w:val="center" w:pos="4153"/>
          <w:tab w:val="left" w:pos="7275"/>
        </w:tabs>
        <w:spacing w:line="579" w:lineRule="exact"/>
        <w:rPr>
          <w:rFonts w:cs="方正仿宋_GBK"/>
          <w:sz w:val="32"/>
          <w:szCs w:val="32"/>
        </w:rPr>
      </w:pPr>
      <w:r>
        <w:rPr>
          <w:rFonts w:eastAsia="方正仿宋_GBK" w:cs="方正仿宋_GBK"/>
          <w:sz w:val="32"/>
          <w:szCs w:val="32"/>
        </w:rPr>
        <w:t>本单位无此事项。</w:t>
      </w:r>
    </w:p>
    <w:p>
      <w:pPr>
        <w:pStyle w:val="19"/>
        <w:shd w:val="clear" w:color="auto" w:fill="FFFFFF"/>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  　　</w:t>
      </w:r>
      <w:r>
        <w:rPr>
          <w:rStyle w:val="20"/>
          <w:rFonts w:ascii="黑体" w:eastAsia="黑体" w:cs="黑体"/>
          <w:sz w:val="32"/>
          <w:szCs w:val="32"/>
          <w:shd w:val="clear" w:color="auto" w:fill="FFFFFF"/>
        </w:rPr>
        <w:t>六、专业名词解释</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b/>
          <w:bCs/>
          <w:sz w:val="32"/>
          <w:szCs w:val="32"/>
          <w:shd w:val="clear" w:color="auto" w:fill="FFFFFF"/>
        </w:rPr>
        <w:t> </w:t>
      </w:r>
      <w:r>
        <w:rPr>
          <w:rFonts w:ascii="楷体" w:eastAsia="楷体" w:cs="楷体"/>
          <w:b/>
          <w:bCs/>
          <w:sz w:val="32"/>
          <w:szCs w:val="32"/>
          <w:shd w:val="clear" w:color="auto" w:fill="FFFFFF"/>
        </w:rPr>
        <w:t>（一）财政拨款收入：</w:t>
      </w:r>
      <w:r>
        <w:rPr>
          <w:rFonts w:asci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 </w:t>
      </w:r>
      <w:r>
        <w:rPr>
          <w:rStyle w:val="20"/>
          <w:rFonts w:ascii="楷体" w:eastAsia="楷体" w:cs="楷体"/>
          <w:sz w:val="32"/>
          <w:szCs w:val="32"/>
          <w:shd w:val="clear" w:color="auto" w:fill="FFFFFF"/>
        </w:rPr>
        <w:t>（二）事业收入</w:t>
      </w:r>
      <w:r>
        <w:rPr>
          <w:rFonts w:ascii="楷体" w:eastAsia="楷体" w:cs="楷体"/>
          <w:sz w:val="32"/>
          <w:szCs w:val="32"/>
          <w:shd w:val="clear" w:color="auto" w:fill="FFFFFF"/>
        </w:rPr>
        <w:t>：</w:t>
      </w:r>
      <w:r>
        <w:rPr>
          <w:rFonts w:asci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 </w:t>
      </w:r>
      <w:r>
        <w:rPr>
          <w:rStyle w:val="20"/>
          <w:rFonts w:ascii="楷体" w:eastAsia="楷体" w:cs="楷体"/>
          <w:sz w:val="32"/>
          <w:szCs w:val="32"/>
          <w:shd w:val="clear" w:color="auto" w:fill="FFFFFF"/>
        </w:rPr>
        <w:t>（三）</w:t>
      </w:r>
      <w:r>
        <w:rPr>
          <w:rStyle w:val="20"/>
          <w:rFonts w:ascii="方正仿宋_GBK" w:eastAsia="方正仿宋_GBK" w:cs="方正仿宋_GBK"/>
          <w:sz w:val="32"/>
          <w:szCs w:val="32"/>
          <w:shd w:val="clear" w:color="auto" w:fill="FFFFFF"/>
        </w:rPr>
        <w:t> </w:t>
      </w:r>
      <w:r>
        <w:rPr>
          <w:rStyle w:val="20"/>
          <w:rFonts w:ascii="楷体" w:eastAsia="楷体" w:cs="楷体"/>
          <w:sz w:val="32"/>
          <w:szCs w:val="32"/>
          <w:shd w:val="clear" w:color="auto" w:fill="FFFFFF"/>
        </w:rPr>
        <w:t>其他收入</w:t>
      </w:r>
      <w:r>
        <w:rPr>
          <w:rFonts w:ascii="楷体" w:eastAsia="楷体" w:cs="楷体"/>
          <w:sz w:val="32"/>
          <w:szCs w:val="32"/>
          <w:shd w:val="clear" w:color="auto" w:fill="FFFFFF"/>
        </w:rPr>
        <w:t>：</w:t>
      </w:r>
      <w:r>
        <w:rPr>
          <w:rFonts w:asci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楷体" w:eastAsia="楷体" w:cs="楷体"/>
          <w:sz w:val="32"/>
          <w:szCs w:val="32"/>
          <w:shd w:val="clear" w:color="auto" w:fill="FFFFFF"/>
        </w:rPr>
        <w:t>（四）使用非财政拨款结余</w:t>
      </w:r>
      <w:r>
        <w:rPr>
          <w:rFonts w:ascii="楷体" w:eastAsia="楷体" w:cs="楷体"/>
          <w:sz w:val="32"/>
          <w:szCs w:val="32"/>
          <w:shd w:val="clear" w:color="auto" w:fill="FFFFFF"/>
        </w:rPr>
        <w:t>：</w:t>
      </w:r>
      <w:r>
        <w:rPr>
          <w:rFonts w:asci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 </w:t>
      </w:r>
      <w:r>
        <w:rPr>
          <w:rStyle w:val="20"/>
          <w:rFonts w:ascii="楷体" w:eastAsia="楷体" w:cs="楷体"/>
          <w:sz w:val="32"/>
          <w:szCs w:val="32"/>
          <w:shd w:val="clear" w:color="auto" w:fill="FFFFFF"/>
        </w:rPr>
        <w:t>（五）年初结转和结余</w:t>
      </w:r>
      <w:r>
        <w:rPr>
          <w:rFonts w:ascii="楷体" w:eastAsia="楷体" w:cs="楷体"/>
          <w:sz w:val="32"/>
          <w:szCs w:val="32"/>
          <w:shd w:val="clear" w:color="auto" w:fill="FFFFFF"/>
        </w:rPr>
        <w:t>：</w:t>
      </w:r>
      <w:r>
        <w:rPr>
          <w:rFonts w:ascii="方正仿宋_GBK" w:eastAsia="方正仿宋_GBK" w:cs="方正仿宋_GBK"/>
          <w:sz w:val="32"/>
          <w:szCs w:val="32"/>
          <w:shd w:val="clear" w:color="auto" w:fill="FFFFFF"/>
        </w:rPr>
        <w:t>指单位上年结转本年使用的基本支出结转、项目支出结转和结余、经营结余。</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 </w:t>
      </w:r>
      <w:r>
        <w:rPr>
          <w:rStyle w:val="20"/>
          <w:rFonts w:ascii="楷体" w:eastAsia="楷体" w:cs="楷体"/>
          <w:sz w:val="32"/>
          <w:szCs w:val="32"/>
          <w:shd w:val="clear" w:color="auto" w:fill="FFFFFF"/>
        </w:rPr>
        <w:t>（六）结余分配</w:t>
      </w:r>
      <w:r>
        <w:rPr>
          <w:rFonts w:ascii="楷体" w:eastAsia="楷体" w:cs="楷体"/>
          <w:sz w:val="32"/>
          <w:szCs w:val="32"/>
          <w:shd w:val="clear" w:color="auto" w:fill="FFFFFF"/>
        </w:rPr>
        <w:t>：</w:t>
      </w:r>
      <w:r>
        <w:rPr>
          <w:rFonts w:asci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 </w:t>
      </w:r>
      <w:r>
        <w:rPr>
          <w:rStyle w:val="20"/>
          <w:rFonts w:ascii="楷体" w:eastAsia="楷体" w:cs="楷体"/>
          <w:sz w:val="32"/>
          <w:szCs w:val="32"/>
          <w:shd w:val="clear" w:color="auto" w:fill="FFFFFF"/>
        </w:rPr>
        <w:t>（七）年末结转和结余</w:t>
      </w:r>
      <w:r>
        <w:rPr>
          <w:rFonts w:ascii="楷体" w:eastAsia="楷体" w:cs="楷体"/>
          <w:sz w:val="32"/>
          <w:szCs w:val="32"/>
          <w:shd w:val="clear" w:color="auto" w:fill="FFFFFF"/>
        </w:rPr>
        <w:t>：</w:t>
      </w:r>
      <w:r>
        <w:rPr>
          <w:rFonts w:ascii="方正仿宋_GBK" w:eastAsia="方正仿宋_GBK" w:cs="方正仿宋_GBK"/>
          <w:sz w:val="32"/>
          <w:szCs w:val="32"/>
          <w:shd w:val="clear" w:color="auto" w:fill="FFFFFF"/>
        </w:rPr>
        <w:t>指单位结转下年的基本支出结转、项目支出结转和结余、经营结余。</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 </w:t>
      </w:r>
      <w:r>
        <w:rPr>
          <w:rStyle w:val="20"/>
          <w:rFonts w:ascii="楷体" w:eastAsia="楷体" w:cs="楷体"/>
          <w:sz w:val="32"/>
          <w:szCs w:val="32"/>
          <w:shd w:val="clear" w:color="auto" w:fill="FFFFFF"/>
        </w:rPr>
        <w:t>（八）基本支出</w:t>
      </w:r>
      <w:r>
        <w:rPr>
          <w:rFonts w:ascii="楷体" w:eastAsia="楷体" w:cs="楷体"/>
          <w:sz w:val="32"/>
          <w:szCs w:val="32"/>
          <w:shd w:val="clear" w:color="auto" w:fill="FFFFFF"/>
        </w:rPr>
        <w:t>：</w:t>
      </w:r>
      <w:r>
        <w:rPr>
          <w:rFonts w:asci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 </w:t>
      </w:r>
      <w:r>
        <w:rPr>
          <w:rStyle w:val="20"/>
          <w:rFonts w:ascii="楷体" w:eastAsia="楷体" w:cs="楷体"/>
          <w:sz w:val="32"/>
          <w:szCs w:val="32"/>
          <w:shd w:val="clear" w:color="auto" w:fill="FFFFFF"/>
        </w:rPr>
        <w:t>（九）项目支出</w:t>
      </w:r>
      <w:r>
        <w:rPr>
          <w:rFonts w:ascii="楷体" w:eastAsia="楷体" w:cs="楷体"/>
          <w:sz w:val="32"/>
          <w:szCs w:val="32"/>
          <w:shd w:val="clear" w:color="auto" w:fill="FFFFFF"/>
        </w:rPr>
        <w:t>：</w:t>
      </w:r>
      <w:r>
        <w:rPr>
          <w:rFonts w:ascii="方正仿宋_GBK" w:eastAsia="方正仿宋_GBK" w:cs="方正仿宋_GBK"/>
          <w:sz w:val="32"/>
          <w:szCs w:val="32"/>
          <w:shd w:val="clear" w:color="auto" w:fill="FFFFFF"/>
        </w:rPr>
        <w:t>指在基本支出之外为完成特定行政任务和事业发展目标所发生的支出。</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 </w:t>
      </w:r>
      <w:r>
        <w:rPr>
          <w:rStyle w:val="20"/>
          <w:rFonts w:ascii="楷体" w:eastAsia="楷体" w:cs="楷体"/>
          <w:sz w:val="32"/>
          <w:szCs w:val="32"/>
          <w:shd w:val="clear" w:color="auto" w:fill="FFFFFF"/>
        </w:rPr>
        <w:t>（十）“三公”经费</w:t>
      </w:r>
      <w:r>
        <w:rPr>
          <w:rFonts w:ascii="楷体" w:eastAsia="楷体" w:cs="楷体"/>
          <w:sz w:val="32"/>
          <w:szCs w:val="32"/>
          <w:shd w:val="clear" w:color="auto" w:fill="FFFFFF"/>
        </w:rPr>
        <w:t>：</w:t>
      </w:r>
      <w:r>
        <w:rPr>
          <w:rFonts w:asci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 </w:t>
      </w:r>
      <w:r>
        <w:rPr>
          <w:rStyle w:val="20"/>
          <w:rFonts w:ascii="楷体" w:eastAsia="楷体" w:cs="楷体"/>
          <w:sz w:val="32"/>
          <w:szCs w:val="32"/>
          <w:shd w:val="clear" w:color="auto" w:fill="FFFFFF"/>
        </w:rPr>
        <w:t>（十一）机关运行经费</w:t>
      </w:r>
      <w:r>
        <w:rPr>
          <w:rFonts w:ascii="楷体" w:eastAsia="楷体" w:cs="楷体"/>
          <w:sz w:val="32"/>
          <w:szCs w:val="32"/>
          <w:shd w:val="clear" w:color="auto" w:fill="FFFFFF"/>
        </w:rPr>
        <w:t>：</w:t>
      </w:r>
      <w:r>
        <w:rPr>
          <w:rFonts w:asci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 </w:t>
      </w:r>
      <w:r>
        <w:rPr>
          <w:rStyle w:val="20"/>
          <w:rFonts w:ascii="楷体" w:eastAsia="楷体" w:cs="楷体"/>
          <w:sz w:val="32"/>
          <w:szCs w:val="32"/>
          <w:shd w:val="clear" w:color="auto" w:fill="FFFFFF"/>
        </w:rPr>
        <w:t>（十二）工资福利支出（支出经济分类科目类级）</w:t>
      </w:r>
      <w:r>
        <w:rPr>
          <w:rFonts w:ascii="楷体" w:eastAsia="楷体" w:cs="楷体"/>
          <w:sz w:val="32"/>
          <w:szCs w:val="32"/>
          <w:shd w:val="clear" w:color="auto" w:fill="FFFFFF"/>
        </w:rPr>
        <w:t>：</w:t>
      </w:r>
      <w:r>
        <w:rPr>
          <w:rFonts w:asci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 </w:t>
      </w:r>
      <w:r>
        <w:rPr>
          <w:rStyle w:val="20"/>
          <w:rFonts w:ascii="楷体" w:eastAsia="楷体" w:cs="楷体"/>
          <w:sz w:val="32"/>
          <w:szCs w:val="32"/>
          <w:shd w:val="clear" w:color="auto" w:fill="FFFFFF"/>
        </w:rPr>
        <w:t>（十三）商品和服务支出（支出经济分类科目类级）</w:t>
      </w:r>
      <w:r>
        <w:rPr>
          <w:rFonts w:ascii="楷体" w:eastAsia="楷体" w:cs="楷体"/>
          <w:sz w:val="32"/>
          <w:szCs w:val="32"/>
          <w:shd w:val="clear" w:color="auto" w:fill="FFFFFF"/>
        </w:rPr>
        <w:t>：</w:t>
      </w:r>
      <w:r>
        <w:rPr>
          <w:rFonts w:ascii="方正仿宋_GBK" w:eastAsia="方正仿宋_GBK" w:cs="方正仿宋_GBK"/>
          <w:sz w:val="32"/>
          <w:szCs w:val="32"/>
          <w:shd w:val="clear" w:color="auto" w:fill="FFFFFF"/>
        </w:rPr>
        <w:t>反映单位购买商品和服务的支出（不包括用于购置固定资产的支出、战略性和应急储备支出）。</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楷体" w:eastAsia="楷体" w:cs="楷体"/>
          <w:sz w:val="32"/>
          <w:szCs w:val="32"/>
          <w:shd w:val="clear" w:color="auto" w:fill="FFFFFF"/>
        </w:rPr>
        <w:t> （十四）对个人和家庭的补助（支出经济分类科目类级）</w:t>
      </w:r>
      <w:r>
        <w:rPr>
          <w:rFonts w:ascii="楷体" w:eastAsia="楷体" w:cs="楷体"/>
          <w:sz w:val="32"/>
          <w:szCs w:val="32"/>
          <w:shd w:val="clear" w:color="auto" w:fill="FFFFFF"/>
        </w:rPr>
        <w:t>：</w:t>
      </w:r>
      <w:r>
        <w:rPr>
          <w:rFonts w:ascii="方正仿宋_GBK" w:eastAsia="方正仿宋_GBK" w:cs="方正仿宋_GBK"/>
          <w:sz w:val="32"/>
          <w:szCs w:val="32"/>
          <w:shd w:val="clear" w:color="auto" w:fill="FFFFFF"/>
        </w:rPr>
        <w:t>反映用于对个人和家庭的补助支出。</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 </w:t>
      </w:r>
      <w:r>
        <w:rPr>
          <w:rStyle w:val="20"/>
          <w:rFonts w:ascii="楷体" w:eastAsia="楷体" w:cs="楷体"/>
          <w:sz w:val="32"/>
          <w:szCs w:val="32"/>
          <w:shd w:val="clear" w:color="auto" w:fill="FFFFFF"/>
        </w:rPr>
        <w:t>（十五）其他资本性支出（支出经济分类科目类级）</w:t>
      </w:r>
      <w:r>
        <w:rPr>
          <w:rFonts w:ascii="楷体" w:eastAsia="楷体" w:cs="楷体"/>
          <w:sz w:val="32"/>
          <w:szCs w:val="32"/>
          <w:shd w:val="clear" w:color="auto" w:fill="FFFFFF"/>
        </w:rPr>
        <w:t>：　</w:t>
      </w:r>
      <w:r>
        <w:rPr>
          <w:rFonts w:asci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9"/>
        <w:shd w:val="clear" w:color="auto" w:fill="FFFFFF"/>
        <w:rPr>
          <w:rStyle w:val="20"/>
          <w:rFonts w:ascii="方正仿宋_GBK" w:eastAsia="方正仿宋_GBK" w:cs="方正仿宋_GBK"/>
          <w:sz w:val="32"/>
          <w:szCs w:val="32"/>
          <w:shd w:val="clear" w:color="auto" w:fill="FFFFFF"/>
        </w:rPr>
      </w:pPr>
      <w:r>
        <w:rPr>
          <w:rStyle w:val="20"/>
          <w:rFonts w:ascii="方正仿宋_GBK" w:eastAsia="方正仿宋_GBK" w:cs="方正仿宋_GBK"/>
          <w:sz w:val="32"/>
          <w:szCs w:val="32"/>
          <w:shd w:val="clear" w:color="auto" w:fill="FFFFFF"/>
        </w:rPr>
        <w:t xml:space="preserve">  </w:t>
      </w:r>
      <w:r>
        <w:rPr>
          <w:rStyle w:val="20"/>
          <w:rFonts w:ascii="黑体" w:eastAsia="黑体" w:cs="黑体"/>
          <w:sz w:val="32"/>
          <w:szCs w:val="32"/>
          <w:shd w:val="clear" w:color="auto" w:fill="FFFFFF"/>
        </w:rPr>
        <w:t>七、决算公开联系方式及信息反馈渠道</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本单位决算公开信息反馈和联系方式：</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eastAsia="方正仿宋_GBK" w:cs="方正仿宋_GBK"/>
          <w:sz w:val="32"/>
          <w:szCs w:val="32"/>
        </w:rPr>
        <w:t>联系人：梅本先　　　　　联系电话：</w:t>
      </w:r>
      <w:r>
        <w:rPr>
          <w:rFonts w:ascii="方正仿宋_GBK" w:eastAsia="方正仿宋_GBK" w:cs="方正仿宋_GBK"/>
          <w:sz w:val="32"/>
          <w:szCs w:val="32"/>
          <w:shd w:val="clear" w:color="auto" w:fill="FFFFFF"/>
        </w:rPr>
        <w:t>023-47559301</w:t>
      </w:r>
    </w:p>
    <w:p>
      <w:pPr>
        <w:pStyle w:val="21"/>
        <w:autoSpaceDE w:val="0"/>
        <w:ind w:firstLineChars="0" w:firstLine="0"/>
        <w:rPr>
          <w:rStyle w:val="20"/>
          <w:rFonts w:ascii="方正仿宋_GBK" w:eastAsia="方正仿宋_GBK" w:cs="方正仿宋_GBK"/>
          <w:sz w:val="32"/>
          <w:szCs w:val="32"/>
          <w:shd w:val="clear" w:color="auto" w:fill="FFFF00"/>
        </w:rPr>
      </w:pPr>
    </w:p>
    <w:p>
      <w:pPr>
        <w:rPr>
          <w:rFonts w:cs="宋体"/>
          <w:sz w:val="20"/>
          <w:szCs w:val="20"/>
        </w:rPr>
      </w:pPr>
    </w:p>
    <w:sectPr>
      <w:headerReference w:type="default" r:id="rId2"/>
      <w:footerReference w:type="default" r:id="rId3"/>
      <w:pgSz w:w="11907" w:h="16839"/>
      <w:pgMar w:top="2098" w:right="1474" w:bottom="1984" w:left="1587" w:header="0" w:footer="283" w:gutter="0"/>
      <w:pgNumType w:fmt="numberInDash"/>
      <w:docGrid w:type="lines" w:linePitch="327"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方正楷体_GBK">
    <w:panose1 w:val="03000509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jc w:val="both"/>
    </w:pPr>
    <w:r>
      <mc:AlternateContent>
        <mc:Choice Requires="wps">
          <w:drawing>
            <wp:anchor distT="0" distB="0" distL="114298" distR="114298" simplePos="0" relativeHeight="12" behindDoc="0" locked="0" layoutInCell="1" hidden="0" allowOverlap="0">
              <wp:simplePos x="0" y="0"/>
              <wp:positionH relativeFrom="margin">
                <wp:align>center</wp:align>
              </wp:positionH>
              <wp:positionV relativeFrom="paragraph">
                <wp:posOffset>0</wp:posOffset>
              </wp:positionV>
              <wp:extent cx="342900" cy="148018"/>
              <wp:effectExtent l="0" t="0" r="0" b="0"/>
              <wp:wrapNone/>
              <wp:docPr id="1" name="文本框 1"/>
              <wp:cNvGraphicFramePr>
                <a:graphicFrameLocks noChangeAspect="0"/>
              </wp:cNvGraphicFramePr>
              <a:graphic>
                <a:graphicData uri="http://schemas.microsoft.com/office/word/2010/wordprocessingShape">
                  <wps:wsp>
                    <wps:cNvSpPr/>
                    <wps:spPr>
                      <a:xfrm rot="0">
                        <a:off x="0" y="0"/>
                        <a:ext cx="342900" cy="148018"/>
                      </a:xfrm>
                      <a:prstGeom prst="rect"/>
                      <a:noFill/>
                      <a:ln w="9525" cmpd="sng" cap="flat">
                        <a:noFill/>
                        <a:prstDash val="solid"/>
                        <a:miter/>
                      </a:ln>
                    </wps:spPr>
                    <wps:txbx id="2">
                      <w:txbxContent>
                        <w:p>
                          <w:pPr>
                            <w:pStyle w:val="16"/>
                            <w:tabs>
                              <w:tab w:val="center" w:pos="4153"/>
                              <w:tab w:val="right" w:pos="8306"/>
                            </w:tabs>
                          </w:pPr>
                          <w:r>
                            <w:fldChar w:fldCharType="begin"/>
                          </w:r>
                          <w:r>
                            <w:instrText>PAGE   \* MERGEFORMAT</w:instrText>
                          </w:r>
                          <w:r>
                            <w:fldChar w:fldCharType="separate"/>
                          </w:r>
                          <w:r>
                            <w:rPr>
                              <w:lang w:val="zh-CN"/>
                            </w:rPr>
                            <w:t>-</w:t>
                          </w:r>
                          <w:r>
                            <w:t xml:space="preserve"> 11 -</w:t>
                          </w:r>
                          <w:r>
                            <w:fldChar w:fldCharType="end"/>
                          </w:r>
                        </w:p>
                      </w:txbxContent>
                    </wps:txbx>
                    <wps:bodyPr vert="horz" wrap="none" lIns="0" tIns="0" rIns="0" bIns="0" anchor="t" anchorCtr="0" upright="1">
                      <a:spAutoFit/>
                    </wps:bodyPr>
                  </wps:wsp>
                </a:graphicData>
              </a:graphic>
            </wp:anchor>
          </w:drawing>
        </mc:Choice>
        <mc:Fallback>
          <w:pict>
            <v:shape type="#_x0000_t202" id="文本框 3" o:spid="_x0000_s3" filled="f" stroked="f" o:allowoverlap="f" style="position:absolute;margin-left:0.0pt;margin-top:0.0pt;width:27.0pt;height:11.655035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6"/>
                      <w:tabs>
                        <w:tab w:val="center" w:pos="4153"/>
                        <w:tab w:val="right" w:pos="8306"/>
                      </w:tabs>
                    </w:pPr>
                    <w:r>
                      <w:fldChar w:fldCharType="begin"/>
                    </w:r>
                    <w:r>
                      <w:instrText>PAGE   \* MERGEFORMAT</w:instrText>
                    </w:r>
                    <w:r>
                      <w:fldChar w:fldCharType="separate"/>
                    </w:r>
                    <w:r>
                      <w:rPr>
                        <w:lang w:val="zh-CN"/>
                      </w:rPr>
                      <w:t>-</w:t>
                    </w:r>
                    <w:r>
                      <w:t xml:space="preserve"> 11 -</w:t>
                    </w:r>
                    <w:r>
                      <w:fldChar w:fldCharType="end"/>
                    </w:r>
                  </w:p>
                </w:txbxContent>
              </v:textbox>
            </v:shape>
          </w:pict>
        </mc:Fallback>
      </mc:AlternateContent>
    </w:r>
    <w:r>
      <mc:AlternateContent>
        <mc:Choice Requires="wps">
          <w:drawing>
            <wp:anchor distT="0" distB="0" distL="114298" distR="114298" simplePos="0" relativeHeight="11" behindDoc="0" locked="0" layoutInCell="1" hidden="0" allowOverlap="0">
              <wp:simplePos x="0" y="0"/>
              <wp:positionH relativeFrom="margin">
                <wp:align>center</wp:align>
              </wp:positionH>
              <wp:positionV relativeFrom="page">
                <wp:posOffset>14737081</wp:posOffset>
              </wp:positionV>
              <wp:extent cx="581024" cy="220979"/>
              <wp:effectExtent l="0" t="0" r="0" b="0"/>
              <wp:wrapNone/>
              <wp:docPr id="4" name="文本框 4"/>
              <wp:cNvGraphicFramePr>
                <a:graphicFrameLocks noChangeAspect="0"/>
              </wp:cNvGraphicFramePr>
              <a:graphic>
                <a:graphicData uri="http://schemas.microsoft.com/office/word/2010/wordprocessingShape">
                  <wps:wsp>
                    <wps:cNvSpPr/>
                    <wps:spPr>
                      <a:xfrm rot="0">
                        <a:off x="0" y="0"/>
                        <a:ext cx="581024" cy="220979"/>
                      </a:xfrm>
                      <a:prstGeom prst="rect"/>
                      <a:noFill/>
                      <a:ln w="9525" cmpd="sng" cap="flat">
                        <a:noFill/>
                        <a:prstDash val="solid"/>
                        <a:miter/>
                      </a:ln>
                    </wps:spPr>
                    <wps:txbx id="5">
                      <w:txbxContent>
                        <w:p>
                          <w:pPr>
                            <w:pStyle w:val="16"/>
                            <w:tabs>
                              <w:tab w:val="center" w:pos="4153"/>
                              <w:tab w:val="right" w:pos="8306"/>
                            </w:tabs>
                            <w:jc w:val="both"/>
                            <w:rPr>
                              <w:rFonts w:cs="宋体"/>
                            </w:rPr>
                          </w:pPr>
                          <w:r>
                            <w:rPr>
                              <w:rFonts w:cs="宋体"/>
                            </w:rPr>
                            <w:t>— 27.1 —</w:t>
                          </w:r>
                        </w:p>
                      </w:txbxContent>
                    </wps:txbx>
                    <wps:bodyPr vert="horz" wrap="none" lIns="0" tIns="0" rIns="0" bIns="0" anchor="t" anchorCtr="0" upright="1">
                      <a:noAutofit/>
                    </wps:bodyPr>
                  </wps:wsp>
                </a:graphicData>
              </a:graphic>
            </wp:anchor>
          </w:drawing>
        </mc:Choice>
        <mc:Fallback>
          <w:pict>
            <v:shape type="#_x0000_t202" id="文本框 6" o:spid="_x0000_s6" filled="f" stroked="f" o:allowoverlap="f" style="position:absolute;margin-left:0.0pt;margin-top:1160.4pt;width:45.74999pt;height:17.399973pt;z-index:11;mso-position-horizontal:center;mso-position-horizontal-relative:margin;mso-position-vertical:absolute;mso-position-vertical-relative:page;mso-wrap-distance-left:8.999863pt;mso-wrap-distance-right:8.999863pt;mso-wrap-style:none;">
              <v:stroke color="#000000"/>
              <v:textbox id="849" inset="0mm,0mm,0mm,0mm" o:insetmode="custom" style="layout-flow:horizontal;v-text-anchor:top;">
                <w:txbxContent>
                  <w:p>
                    <w:pPr>
                      <w:pStyle w:val="16"/>
                      <w:tabs>
                        <w:tab w:val="center" w:pos="4153"/>
                        <w:tab w:val="right" w:pos="8306"/>
                      </w:tabs>
                      <w:jc w:val="both"/>
                      <w:rPr>
                        <w:rFonts w:cs="宋体"/>
                      </w:rPr>
                    </w:pPr>
                    <w:r>
                      <w:rPr>
                        <w:rFonts w:cs="宋体"/>
                      </w:rPr>
                      <w:t>— 27.1 —</w:t>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tabs>
        <w:tab w:val="clear" w:pos="4153"/>
        <w:tab w:val="clear" w:pos="8306"/>
        <w:tab w:val="left" w:pos="1758"/>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FC6D37E"/>
    <w:multiLevelType w:val="singleLevel"/>
    <w:tmpl w:val="7FC6D37E"/>
    <w:lvl w:ilvl="0">
      <w:start w:val="2"/>
      <w:numFmt w:val="chineseCounting"/>
      <w:lvlRestart w:val="0"/>
      <w:suff w:val="nothing"/>
      <w:lvlText w:val="（%1）"/>
      <w:lvlJc w:val="left"/>
      <w:pPr>
        <w:tabs>
          <w:tab w:val="num" w:pos="0"/>
        </w:tabs>
        <w:ind w:left="0" w:hanging="0"/>
      </w:pPr>
      <w:rPr>
        <w:rFonts w:hint="eastAsia"/>
      </w:rPr>
    </w:lvl>
  </w:abstractNum>
  <w:abstractNum w:abstractNumId="1">
    <w:nsid w:val="36AF54E0"/>
    <w:multiLevelType w:val="singleLevel"/>
    <w:tmpl w:val="36AF54E0"/>
    <w:lvl w:ilvl="0">
      <w:start w:val="2"/>
      <w:numFmt w:val="decimal"/>
      <w:lvlRestart w:val="0"/>
      <w:suff w:val="space"/>
      <w:lvlText w:val="%1."/>
      <w:lvlJc w:val="left"/>
      <w:pPr>
        <w:tabs>
          <w:tab w:val="num" w:pos="0"/>
        </w:tabs>
        <w:ind w:left="0" w:hanging="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20"/>
  <w:drawingGridVerticalSpacing w:val="164"/>
  <w:displayHorizontalDrawingGridEvery w:val="2"/>
  <w:displayVerticalDrawingGridEvery w:val="2"/>
  <w:noPunctuationKerning/>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docVars w:name="commondata" w:val="eyJoZGlkIjoiNmIyOGYxOGE5YTYyZDJiZjY3YWVlZWE0MDAyMzg4Nj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宋体" w:eastAsia="宋体" w:cs="Times New Roman"/>
      <w:sz w:val="24"/>
      <w:szCs w:val="24"/>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pPr>
    <w:rPr>
      <w:sz w:val="18"/>
      <w:szCs w:val="18"/>
    </w:rPr>
  </w:style>
  <w:style w:type="paragraph" w:styleId="17">
    <w:name w:val="header"/>
    <w:basedOn w:val="0"/>
    <w:pPr>
      <w:tabs>
        <w:tab w:val="center" w:pos="4153"/>
        <w:tab w:val="right" w:pos="8306"/>
      </w:tabs>
      <w:snapToGrid w:val="0"/>
      <w:jc w:val="center"/>
    </w:pPr>
    <w:rPr>
      <w:sz w:val="18"/>
      <w:szCs w:val="18"/>
    </w:rPr>
  </w:style>
  <w:style w:type="paragraph" w:styleId="18">
    <w:name w:val="HTML Preformatted"/>
    <w:basedOn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9">
    <w:name w:val="Normal (Web)"/>
    <w:basedOn w:val="0"/>
    <w:pPr>
      <w:spacing w:before="100" w:beforeAutospacing="1" w:after="100" w:afterAutospacing="1"/>
    </w:pPr>
  </w:style>
  <w:style w:type="character" w:styleId="20">
    <w:name w:val="Strong"/>
    <w:rPr>
      <w:b/>
    </w:rPr>
  </w:style>
  <w:style w:type="paragraph" w:customStyle="1" w:styleId="21">
    <w:name w:val="列出段落1"/>
    <w:basedOn w:val="0"/>
    <w:pPr>
      <w:ind w:firstLineChars="200" w:firstLine="200"/>
    </w:pPr>
  </w:style>
  <w:style w:type="paragraph" w:customStyle="1" w:styleId="22">
    <w:name w:val="普通(网站) Char"/>
    <w:pPr>
      <w:spacing w:before="100" w:beforeAutospacing="1" w:after="100" w:afterAutospacing="1"/>
    </w:pPr>
    <w:rPr>
      <w:rFonts w:ascii="宋体" w:eastAsia="宋体" w:cs="Times New Roman"/>
      <w:sz w:val="24"/>
      <w:szCs w:val="24"/>
      <w:lang w:val="en-US" w:eastAsia="zh-CN" w:bidi="ar-SA"/>
    </w:rPr>
  </w:style>
  <w:style w:type="character" w:customStyle="1" w:styleId="23">
    <w:name w:val="21"/>
    <w:rPr>
      <w:rFonts w:ascii="Wingdings" w:cs="Wingdings" w:hAnsi="Wingdings"/>
      <w:b/>
      <w:bCs/>
    </w:rPr>
  </w:style>
  <w:style w:type="paragraph" w:customStyle="1" w:styleId="24">
    <w:name w:val="列出段落2"/>
    <w:pPr>
      <w:ind w:firstLineChars="200" w:firstLine="200"/>
    </w:pPr>
    <w:rPr>
      <w:rFonts w:ascii="宋体" w:eastAsia="宋体" w:cs="Times New Roman"/>
      <w:sz w:val="24"/>
      <w:szCs w:val="24"/>
      <w:lang w:val="en-US" w:eastAsia="zh-CN" w:bidi="ar-SA"/>
    </w:rPr>
  </w:style>
  <w:style w:type="paragraph" w:customStyle="1" w:styleId="25">
    <w:name w:val="List Paragraph"/>
    <w:basedOn w:val="0"/>
    <w:pPr>
      <w:ind w:firstLineChars="200" w:firstLine="200"/>
    </w:pPr>
  </w:style>
  <w:style w:type="character" w:customStyle="1" w:styleId="26">
    <w:name w:val="23"/>
    <w:basedOn w:val="10"/>
    <w:rPr>
      <w:rFonts w:ascii="Times New Roman" w:cs="Times New Roman" w:hAnsi="Times New Roman"/>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13</TotalTime>
  <Application>Yozo_Office</Application>
  <Pages>13</Pages>
  <Words>5053</Words>
  <Characters>5693</Characters>
  <Lines>344</Lines>
  <Paragraphs>186</Paragraphs>
  <CharactersWithSpaces>5775</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acer</cp:lastModifiedBy>
  <cp:revision>13</cp:revision>
  <dcterms:created xsi:type="dcterms:W3CDTF">2024-07-11T02:00:00Z</dcterms:created>
  <dcterms:modified xsi:type="dcterms:W3CDTF">2025-09-12T02:07:57Z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2052-11.1.0.14036</vt:lpwstr>
  </property>
  <property fmtid="{D5CDD505-2E9C-101B-9397-08002B2CF9AE}" pid="3" name="ICV">
    <vt:lpwstr>87103E3050454E4CAB51F126A698357C_13</vt:lpwstr>
  </property>
  <property fmtid="{D5CDD505-2E9C-101B-9397-08002B2CF9AE}" pid="4" name="KSOTemplateDocerSaveRecord">
    <vt:lpwstr>eyJoZGlkIjoiMDUwMjYyMTAwZTM5NTcxOGVhNzI3YWZjMDRhMjZkZDEifQ==</vt:lpwstr>
  </property>
</Properties>
</file>