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仿宋_GBK" w:eastAsia="方正仿宋_GBK"/>
          <w:bCs/>
          <w:spacing w:val="1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仿宋_GBK" w:eastAsia="方正仿宋_GBK"/>
          <w:bCs/>
          <w:spacing w:val="1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eastAsia="方正小标宋_GBK"/>
          <w:sz w:val="44"/>
          <w:szCs w:val="44"/>
        </w:rPr>
      </w:pPr>
      <w:r>
        <w:rPr>
          <w:rFonts w:hint="default" w:eastAsia="方正小标宋_GBK"/>
          <w:sz w:val="44"/>
          <w:szCs w:val="44"/>
        </w:rPr>
        <w:t>重庆市江津区生态环境局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关于印发江津区环境空气质量功能区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划分规定的通知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津环发〔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2022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14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各镇人民政府、街道办事处，区政府各部门，</w:t>
      </w:r>
      <w:r>
        <w:rPr>
          <w:rFonts w:hint="default" w:ascii="Times New Roman" w:hAnsi="Times New Roman" w:eastAsia="方正仿宋_GBK" w:cs="Times New Roman"/>
          <w:lang w:eastAsia="zh-CN"/>
        </w:rPr>
        <w:t>有关单位</w:t>
      </w:r>
      <w:r>
        <w:rPr>
          <w:rFonts w:hint="default" w:ascii="Times New Roman" w:hAnsi="Times New Roman" w:eastAsia="方正仿宋_GBK" w:cs="Times New Roma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</w:rPr>
        <w:t>《江津区环境空气质量功能区划分规定》</w:t>
      </w:r>
      <w:r>
        <w:rPr>
          <w:rFonts w:hint="default" w:ascii="Times New Roman" w:hAnsi="Times New Roman" w:eastAsia="方正仿宋_GBK" w:cs="Times New Roman"/>
          <w:lang w:eastAsia="zh-CN"/>
        </w:rPr>
        <w:t>经区政府批准，现</w:t>
      </w:r>
      <w:r>
        <w:rPr>
          <w:rFonts w:hint="default" w:ascii="Times New Roman" w:hAnsi="Times New Roman" w:eastAsia="方正仿宋_GBK" w:cs="Times New Roman"/>
        </w:rPr>
        <w:t>印发给你们，请遵照执行。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640" w:rightChars="200"/>
        <w:jc w:val="right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重庆市江津区生态环境局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55"/>
        <w:jc w:val="center"/>
        <w:textAlignment w:val="auto"/>
        <w:rPr>
          <w:rFonts w:hint="default" w:eastAsia="方正仿宋_GBK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2022年4月1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日 </w:t>
      </w:r>
      <w:r>
        <w:rPr>
          <w:rFonts w:hint="default" w:eastAsia="方正仿宋_GBK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eastAsia="方正仿宋_GBK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江津区环境空气质量功能区划分规定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方正仿宋_GBK"/>
        </w:rPr>
      </w:pPr>
      <w:r>
        <w:rPr>
          <w:rFonts w:eastAsia="方正仿宋_GBK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一、为控制大气污染，保护生态环境和人群健康，根据《环境空气质量标准》（</w:t>
      </w:r>
      <w:r>
        <w:rPr>
          <w:rFonts w:hint="eastAsia" w:eastAsia="方正仿宋_GBK"/>
        </w:rPr>
        <w:t>GB3095</w:t>
      </w:r>
      <w:r>
        <w:rPr>
          <w:rFonts w:hint="eastAsia" w:ascii="方正仿宋_GBK" w:eastAsia="方正仿宋_GBK"/>
        </w:rPr>
        <w:t>－</w:t>
      </w:r>
      <w:r>
        <w:rPr>
          <w:rFonts w:hint="eastAsia" w:eastAsia="方正仿宋_GBK"/>
          <w:lang w:val="en-US" w:eastAsia="zh-CN"/>
        </w:rPr>
        <w:t>2012</w:t>
      </w:r>
      <w:r>
        <w:rPr>
          <w:rFonts w:hint="eastAsia" w:ascii="方正仿宋_GBK" w:eastAsia="方正仿宋_GBK"/>
        </w:rPr>
        <w:t>）</w:t>
      </w:r>
      <w:r>
        <w:rPr>
          <w:rFonts w:hint="eastAsia" w:ascii="方正仿宋_GBK" w:eastAsia="方正仿宋_GBK"/>
          <w:lang w:eastAsia="zh-CN"/>
        </w:rPr>
        <w:t>、</w:t>
      </w:r>
      <w:r>
        <w:rPr>
          <w:rFonts w:hint="eastAsia" w:ascii="方正仿宋_GBK" w:eastAsia="方正仿宋_GBK"/>
        </w:rPr>
        <w:t>《重庆市</w:t>
      </w:r>
      <w:r>
        <w:rPr>
          <w:rFonts w:hint="eastAsia" w:ascii="方正仿宋_GBK" w:eastAsia="方正仿宋_GBK"/>
          <w:lang w:eastAsia="zh-CN"/>
        </w:rPr>
        <w:t>环境保护</w:t>
      </w:r>
      <w:r>
        <w:rPr>
          <w:rFonts w:hint="eastAsia" w:ascii="方正仿宋_GBK" w:eastAsia="方正仿宋_GBK"/>
        </w:rPr>
        <w:t>条例》</w:t>
      </w:r>
      <w:r>
        <w:rPr>
          <w:rFonts w:hint="eastAsia" w:ascii="方正仿宋_GBK" w:eastAsia="方正仿宋_GBK"/>
          <w:lang w:eastAsia="zh-CN"/>
        </w:rPr>
        <w:t>等</w:t>
      </w:r>
      <w:r>
        <w:rPr>
          <w:rFonts w:hint="eastAsia" w:ascii="方正仿宋_GBK" w:eastAsia="方正仿宋_GBK"/>
        </w:rPr>
        <w:t>，结合我区实际，制定本规定。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二、本规定适用于本区行政区域。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三、本区环境空气质量功能区划分坚持以保护生活环境和生态环境，保障人体健康及动植物正常生存、生长，保护文物古迹，有利于经济发展的原则。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四、</w:t>
      </w:r>
      <w:r>
        <w:rPr>
          <w:rFonts w:hint="eastAsia" w:ascii="方正仿宋_GBK" w:eastAsia="方正仿宋_GBK"/>
          <w:lang w:eastAsia="zh-CN"/>
        </w:rPr>
        <w:t>各类功能区</w:t>
      </w:r>
      <w:r>
        <w:rPr>
          <w:rFonts w:hint="eastAsia" w:ascii="方正仿宋_GBK" w:eastAsia="方正仿宋_GBK"/>
        </w:rPr>
        <w:t>分别执行相应国家环境空气质量标准和大气污染物排放标准，</w:t>
      </w:r>
      <w:r>
        <w:rPr>
          <w:rFonts w:hint="eastAsia" w:ascii="方正仿宋_GBK" w:hAnsi="方正仿宋_GBK" w:eastAsia="方正仿宋_GBK" w:cs="方正仿宋_GBK"/>
          <w:color w:val="auto"/>
        </w:rPr>
        <w:t>一类功能区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内的建设用地及其</w:t>
      </w:r>
      <w:r>
        <w:rPr>
          <w:rFonts w:hint="eastAsia" w:ascii="方正仿宋_GBK" w:hAnsi="方正仿宋_GBK" w:eastAsia="方正仿宋_GBK" w:cs="方正仿宋_GBK"/>
          <w:color w:val="auto"/>
        </w:rPr>
        <w:t>以外所设300m宽的缓冲带，</w:t>
      </w:r>
      <w:r>
        <w:rPr>
          <w:rFonts w:hint="eastAsia" w:ascii="方正仿宋_GBK" w:eastAsia="方正仿宋_GBK"/>
        </w:rPr>
        <w:t>原则上按一类功能区对应的相关标准执行。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eastAsia="方正仿宋_GBK"/>
          <w:color w:val="auto"/>
        </w:rPr>
      </w:pPr>
      <w:r>
        <w:rPr>
          <w:rFonts w:hint="eastAsia" w:ascii="方正仿宋_GBK" w:eastAsia="方正仿宋_GBK"/>
          <w:color w:val="auto"/>
        </w:rPr>
        <w:t>五、环境空气质量功能区一类区的范围</w:t>
      </w:r>
      <w:r>
        <w:rPr>
          <w:rFonts w:hint="eastAsia" w:ascii="方正仿宋_GBK" w:eastAsia="方正仿宋_GBK"/>
          <w:color w:val="auto"/>
          <w:lang w:eastAsia="zh-CN"/>
        </w:rPr>
        <w:t>为长江上游珍稀特有鱼类国家级自然保护区、</w:t>
      </w:r>
      <w:r>
        <w:rPr>
          <w:rFonts w:hint="eastAsia" w:ascii="方正仿宋_GBK" w:eastAsia="方正仿宋_GBK"/>
          <w:color w:val="auto"/>
        </w:rPr>
        <w:t>大圆洞国家森林公园</w:t>
      </w:r>
      <w:r>
        <w:rPr>
          <w:rFonts w:hint="eastAsia" w:ascii="方正仿宋_GBK" w:eastAsia="方正仿宋_GBK"/>
          <w:color w:val="auto"/>
          <w:lang w:eastAsia="zh-CN"/>
        </w:rPr>
        <w:t>、</w:t>
      </w:r>
      <w:r>
        <w:rPr>
          <w:rFonts w:hint="eastAsia" w:ascii="方正仿宋_GBK" w:eastAsia="方正仿宋_GBK"/>
          <w:color w:val="auto"/>
        </w:rPr>
        <w:t>四面山</w:t>
      </w:r>
      <w:r>
        <w:rPr>
          <w:rFonts w:hint="eastAsia" w:ascii="方正仿宋_GBK" w:eastAsia="方正仿宋_GBK"/>
          <w:color w:val="auto"/>
          <w:lang w:eastAsia="zh-CN"/>
        </w:rPr>
        <w:t>市级</w:t>
      </w:r>
      <w:r>
        <w:rPr>
          <w:rFonts w:hint="eastAsia" w:ascii="方正仿宋_GBK" w:eastAsia="方正仿宋_GBK"/>
          <w:color w:val="auto"/>
        </w:rPr>
        <w:t>自然保护区</w:t>
      </w:r>
      <w:r>
        <w:rPr>
          <w:rFonts w:hint="eastAsia" w:ascii="方正仿宋_GBK" w:eastAsia="方正仿宋_GBK"/>
          <w:color w:val="auto"/>
          <w:lang w:eastAsia="zh-CN"/>
        </w:rPr>
        <w:t>（含四面山国家级风景名胜区）</w:t>
      </w:r>
      <w:r>
        <w:rPr>
          <w:rFonts w:hint="eastAsia" w:ascii="方正仿宋_GBK" w:eastAsia="方正仿宋_GBK"/>
          <w:color w:val="auto"/>
        </w:rPr>
        <w:t>、云雾坪</w:t>
      </w:r>
      <w:r>
        <w:rPr>
          <w:rFonts w:hint="eastAsia" w:ascii="方正仿宋_GBK" w:eastAsia="方正仿宋_GBK"/>
          <w:color w:val="auto"/>
          <w:lang w:eastAsia="zh-CN"/>
        </w:rPr>
        <w:t>市级</w:t>
      </w:r>
      <w:r>
        <w:rPr>
          <w:rFonts w:hint="eastAsia" w:ascii="方正仿宋_GBK" w:eastAsia="方正仿宋_GBK"/>
          <w:color w:val="auto"/>
        </w:rPr>
        <w:t>森林公园、黑石山—滚子坪</w:t>
      </w:r>
      <w:r>
        <w:rPr>
          <w:rFonts w:hint="eastAsia" w:ascii="方正仿宋_GBK" w:eastAsia="方正仿宋_GBK"/>
          <w:color w:val="auto"/>
          <w:lang w:eastAsia="zh-CN"/>
        </w:rPr>
        <w:t>市级</w:t>
      </w:r>
      <w:r>
        <w:rPr>
          <w:rFonts w:hint="eastAsia" w:ascii="方正仿宋_GBK" w:eastAsia="方正仿宋_GBK"/>
          <w:color w:val="auto"/>
        </w:rPr>
        <w:t>风景</w:t>
      </w:r>
      <w:r>
        <w:rPr>
          <w:rFonts w:hint="eastAsia" w:ascii="方正仿宋_GBK" w:eastAsia="方正仿宋_GBK"/>
          <w:color w:val="auto"/>
          <w:lang w:eastAsia="zh-CN"/>
        </w:rPr>
        <w:t>名胜</w:t>
      </w:r>
      <w:r>
        <w:rPr>
          <w:rFonts w:hint="eastAsia" w:ascii="方正仿宋_GBK" w:eastAsia="方正仿宋_GBK"/>
          <w:color w:val="auto"/>
        </w:rPr>
        <w:t>区</w:t>
      </w:r>
      <w:r>
        <w:rPr>
          <w:rFonts w:hint="eastAsia" w:ascii="方正仿宋_GBK" w:eastAsia="方正仿宋_GBK"/>
          <w:color w:val="auto"/>
          <w:lang w:eastAsia="zh-CN"/>
        </w:rPr>
        <w:t>、临峰山市级森林公园、</w:t>
      </w:r>
      <w:r>
        <w:rPr>
          <w:rFonts w:hint="eastAsia" w:ascii="方正仿宋_GBK" w:eastAsia="方正仿宋_GBK"/>
          <w:color w:val="auto"/>
        </w:rPr>
        <w:t>中山</w:t>
      </w:r>
      <w:r>
        <w:rPr>
          <w:rFonts w:hint="eastAsia" w:ascii="方正仿宋_GBK" w:eastAsia="方正仿宋_GBK"/>
          <w:color w:val="auto"/>
          <w:lang w:eastAsia="zh-CN"/>
        </w:rPr>
        <w:t>白</w:t>
      </w:r>
      <w:r>
        <w:rPr>
          <w:rFonts w:hint="eastAsia" w:ascii="方正仿宋_GBK" w:eastAsia="方正仿宋_GBK"/>
          <w:color w:val="auto"/>
        </w:rPr>
        <w:t>鹭</w:t>
      </w:r>
      <w:r>
        <w:rPr>
          <w:rFonts w:hint="eastAsia" w:ascii="方正仿宋_GBK" w:eastAsia="方正仿宋_GBK"/>
          <w:color w:val="auto"/>
          <w:lang w:eastAsia="zh-CN"/>
        </w:rPr>
        <w:t>县级</w:t>
      </w:r>
      <w:r>
        <w:rPr>
          <w:rFonts w:hint="eastAsia" w:ascii="方正仿宋_GBK" w:eastAsia="方正仿宋_GBK"/>
          <w:color w:val="auto"/>
        </w:rPr>
        <w:t>自然保护区</w:t>
      </w:r>
      <w:r>
        <w:rPr>
          <w:rFonts w:hint="eastAsia" w:ascii="方正仿宋_GBK" w:eastAsia="方正仿宋_GBK"/>
          <w:color w:val="auto"/>
          <w:lang w:eastAsia="zh-CN"/>
        </w:rPr>
        <w:t>、江津区湿地县级自然保护区</w:t>
      </w:r>
      <w:r>
        <w:rPr>
          <w:rFonts w:hint="eastAsia" w:ascii="方正仿宋_GBK" w:eastAsia="方正仿宋_GBK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eastAsia="方正仿宋_GBK"/>
          <w:color w:val="auto"/>
        </w:rPr>
      </w:pPr>
      <w:r>
        <w:rPr>
          <w:rFonts w:hint="eastAsia" w:ascii="方正仿宋_GBK" w:eastAsia="方正仿宋_GBK"/>
          <w:color w:val="auto"/>
        </w:rPr>
        <w:t>六、环境空气质量功能区二类区的范围为除上述划定的一类功能区</w:t>
      </w:r>
      <w:r>
        <w:rPr>
          <w:rFonts w:hint="eastAsia" w:ascii="方正仿宋_GBK" w:eastAsia="方正仿宋_GBK"/>
          <w:color w:val="auto"/>
          <w:lang w:eastAsia="zh-CN"/>
        </w:rPr>
        <w:t>以</w:t>
      </w:r>
      <w:r>
        <w:rPr>
          <w:rFonts w:hint="eastAsia" w:ascii="方正仿宋_GBK" w:eastAsia="方正仿宋_GBK"/>
          <w:color w:val="auto"/>
        </w:rPr>
        <w:t>外</w:t>
      </w:r>
      <w:r>
        <w:rPr>
          <w:rFonts w:hint="eastAsia" w:ascii="方正仿宋_GBK" w:eastAsia="方正仿宋_GBK"/>
          <w:color w:val="auto"/>
          <w:lang w:eastAsia="zh-CN"/>
        </w:rPr>
        <w:t>的</w:t>
      </w:r>
      <w:r>
        <w:rPr>
          <w:rFonts w:hint="eastAsia" w:ascii="方正仿宋_GBK" w:eastAsia="方正仿宋_GBK"/>
          <w:color w:val="auto"/>
        </w:rPr>
        <w:t>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宋体" w:hAnsi="宋体" w:eastAsia="方正仿宋_GBK" w:cs="仿宋"/>
          <w:sz w:val="28"/>
          <w:lang w:bidi="ar-SA"/>
        </w:rPr>
      </w:pPr>
      <w:r>
        <w:rPr>
          <w:rFonts w:hint="eastAsia" w:ascii="方正仿宋_GBK" w:eastAsia="方正仿宋_GBK"/>
        </w:rPr>
        <w:t>七、</w:t>
      </w:r>
      <w:r>
        <w:rPr>
          <w:rFonts w:hint="eastAsia" w:ascii="方正仿宋_GBK" w:eastAsia="方正仿宋_GBK"/>
          <w:lang w:eastAsia="zh-CN"/>
        </w:rPr>
        <w:t>本通知自印发之日起施行。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eastAsia="方正仿宋_GBK" w:cs="Arial"/>
          <w:kern w:val="0"/>
          <w:sz w:val="28"/>
          <w:szCs w:val="28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7" w:h="16840"/>
      <w:pgMar w:top="1962" w:right="1474" w:bottom="1848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7296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256p9YAAAADAQAADwAAAAAAAAABACAAAAAiAAAAZHJzL2Rv&#10;d25yZXYueG1sUEsBAhQAFAAAAAgAh07iQFRjGuM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  <w:ind w:left="7296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135890</wp:posOffset>
              </wp:positionV>
              <wp:extent cx="5639435" cy="4445"/>
              <wp:effectExtent l="0" t="0" r="0" b="0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21600000" flipV="1">
                        <a:off x="0" y="0"/>
                        <a:ext cx="5639435" cy="4445"/>
                      </a:xfrm>
                      <a:prstGeom prst="line">
                        <a:avLst/>
                      </a:prstGeom>
                      <a:noFill/>
                      <a:ln w="22225" cap="flat" cmpd="sng">
                        <a:solidFill>
                          <a:srgbClr val="005192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flip:y;margin-left:-1.5pt;margin-top:10.7pt;height:0.35pt;width:444.05pt;z-index:251659264;mso-width-relative:page;mso-height-relative:page;" filled="f" stroked="t" coordsize="21600,21600" o:gfxdata="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M9ES2AAAAAgBAAAPAAAAAAAAAAEAIAAAACIAAABkcnMvZG93bnJldi54bWxQSwECFAAUAAAA&#10;CACHTuJAPJzPZScCAAA6BAAADgAAAAAAAAABACAAAAAnAQAAZHJzL2Uyb0RvYy54bWxQSwUGAAAA&#10;AAYABgBZAQAAwA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>
    <w:pPr>
      <w:pStyle w:val="6"/>
      <w:wordWrap w:val="0"/>
      <w:jc w:val="center"/>
      <w:rPr>
        <w:rFonts w:hint="eastAsia" w:asci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ascii="宋体" w:eastAsia="宋体" w:cs="宋体"/>
        <w:b/>
        <w:bCs/>
        <w:color w:val="005192"/>
        <w:sz w:val="28"/>
        <w:szCs w:val="44"/>
        <w:lang w:val="en-US" w:eastAsia="zh-CN"/>
      </w:rPr>
      <w:t xml:space="preserve">                             </w:t>
    </w:r>
    <w:r>
      <w:rPr>
        <w:rFonts w:hint="eastAsia" w:ascii="宋体" w:eastAsia="宋体" w:cs="宋体"/>
        <w:b/>
        <w:bCs/>
        <w:color w:val="005192"/>
        <w:sz w:val="28"/>
        <w:szCs w:val="44"/>
        <w:lang w:val="en-US" w:eastAsia="zh-CN"/>
      </w:rPr>
      <w:t>重庆市江津区生态环境局发布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03875" cy="10795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3875" cy="10794"/>
                      </a:xfrm>
                      <a:prstGeom prst="line">
                        <a:avLst/>
                      </a:prstGeom>
                      <a:noFill/>
                      <a:ln w="22225" cap="flat" cmpd="sng">
                        <a:solidFill>
                          <a:srgbClr val="005192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-0.2pt;margin-top:36.4pt;height:0.85pt;width:441.25pt;z-index:251659264;mso-width-relative:page;mso-height-relative:page;" filled="f" stroked="t" coordsize="21600,21600" o:gfxdata="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i0NfdMAAAAHAQAADwAAAAAA&#10;AAABACAAAAAiAAAAZHJzL2Rvd25yZXYueG1sUEsBAhQAFAAAAAgAh07iQBJ6daAYAgAAIgQAAA4A&#10;AAAAAAAAAQAgAAAAIgEAAGRycy9lMm9Eb2MueG1sUEsFBgAAAAAGAAYAWQEAAKwFAAAAAA=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  <w:r>
      <w:rPr>
        <w:rFonts w:hint="eastAsia" w:ascii="宋体" w:eastAsia="宋体" w:cs="宋体"/>
        <w:b/>
        <w:bCs/>
        <w:color w:val="005192"/>
        <w:sz w:val="32"/>
        <w:lang w:val="en-US" w:eastAsia="zh-CN"/>
      </w:rPr>
      <w:t>重庆市江津区生态环境局</w:t>
    </w:r>
    <w:r>
      <w:rPr>
        <w:rFonts w:ascii="宋体" w:eastAsia="宋体" w:cs="宋体"/>
        <w:b/>
        <w:bCs/>
        <w:color w:val="005192"/>
        <w:sz w:val="32"/>
        <w:lang w:val="en-US" w:eastAsia="zh-CN"/>
      </w:rPr>
      <w:t>行政</w:t>
    </w:r>
    <w:r>
      <w:rPr>
        <w:rFonts w:hint="eastAsia" w:ascii="宋体" w:eastAsia="宋体" w:cs="宋体"/>
        <w:b/>
        <w:bCs/>
        <w:color w:val="005192"/>
        <w:sz w:val="32"/>
        <w:szCs w:val="32"/>
        <w:lang w:val="en-U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HorizontalSpacing w:val="1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Y2FmMDk5NWY1Y2Q1NmJjZGI3MjQ5MjBjODI2NTZmM2EifQ=="/>
  </w:docVars>
  <w:rsids>
    <w:rsidRoot w:val="00000000"/>
    <w:rsid w:val="5A580185"/>
    <w:rsid w:val="5F5E68EE"/>
    <w:rsid w:val="66917B02"/>
    <w:rsid w:val="7C095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next w:val="5"/>
    <w:uiPriority w:val="0"/>
    <w:pPr>
      <w:widowControl w:val="0"/>
      <w:ind w:left="100" w:leftChars="100" w:right="100" w:right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uiPriority w:val="0"/>
    <w:rPr>
      <w:b/>
      <w:bCs/>
    </w:rPr>
  </w:style>
  <w:style w:type="paragraph" w:customStyle="1" w:styleId="11">
    <w:name w:val="p0"/>
    <w:basedOn w:val="1"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2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551</Words>
  <Characters>570</Characters>
  <Lines>383</Lines>
  <Paragraphs>157</Paragraphs>
  <TotalTime>3</TotalTime>
  <ScaleCrop>false</ScaleCrop>
  <LinksUpToDate>false</LinksUpToDate>
  <CharactersWithSpaces>606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2023-03-29T02:51:46Z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1C443BA52A2A43ABBDAD6840637DEBBE</vt:lpwstr>
  </property>
</Properties>
</file>