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76C207">
      <w:pPr>
        <w:keepNext w:val="0"/>
        <w:keepLines w:val="0"/>
        <w:pageBreakBefore w:val="0"/>
        <w:kinsoku/>
        <w:wordWrap/>
        <w:overflowPunct/>
        <w:topLinePunct w:val="0"/>
        <w:autoSpaceDN/>
        <w:bidi w:val="0"/>
        <w:snapToGrid/>
        <w:spacing w:line="579" w:lineRule="exact"/>
        <w:jc w:val="center"/>
        <w:textAlignment w:val="auto"/>
        <w:rPr>
          <w:rFonts w:hint="eastAsia" w:ascii="宋体" w:hAnsi="宋体" w:eastAsia="方正小标宋_GBK" w:cs="方正小标宋_GBK"/>
          <w:sz w:val="44"/>
          <w:szCs w:val="44"/>
          <w:lang w:val="en-US" w:eastAsia="zh-CN"/>
        </w:rPr>
      </w:pPr>
    </w:p>
    <w:p w14:paraId="6DC744DA">
      <w:pPr>
        <w:keepNext w:val="0"/>
        <w:keepLines w:val="0"/>
        <w:pageBreakBefore w:val="0"/>
        <w:kinsoku/>
        <w:wordWrap/>
        <w:overflowPunct/>
        <w:topLinePunct w:val="0"/>
        <w:autoSpaceDN/>
        <w:bidi w:val="0"/>
        <w:snapToGrid/>
        <w:spacing w:line="579" w:lineRule="exact"/>
        <w:jc w:val="center"/>
        <w:textAlignment w:val="auto"/>
        <w:rPr>
          <w:rFonts w:hint="eastAsia" w:ascii="宋体" w:hAnsi="宋体" w:eastAsia="方正小标宋_GBK" w:cs="方正小标宋_GBK"/>
          <w:sz w:val="44"/>
          <w:szCs w:val="44"/>
          <w:lang w:val="en-US" w:eastAsia="zh-CN"/>
        </w:rPr>
      </w:pPr>
      <w:r>
        <w:rPr>
          <w:rFonts w:hint="eastAsia" w:ascii="宋体" w:hAnsi="宋体" w:eastAsia="方正小标宋_GBK" w:cs="方正小标宋_GBK"/>
          <w:sz w:val="44"/>
          <w:szCs w:val="44"/>
          <w:lang w:val="en-US" w:eastAsia="zh-CN"/>
        </w:rPr>
        <w:t>重庆市江津区政务服务管理办公室</w:t>
      </w:r>
    </w:p>
    <w:p w14:paraId="3D872B14">
      <w:pPr>
        <w:keepNext w:val="0"/>
        <w:keepLines w:val="0"/>
        <w:pageBreakBefore w:val="0"/>
        <w:kinsoku/>
        <w:wordWrap/>
        <w:overflowPunct/>
        <w:topLinePunct w:val="0"/>
        <w:autoSpaceDN/>
        <w:bidi w:val="0"/>
        <w:snapToGrid/>
        <w:spacing w:line="579" w:lineRule="exact"/>
        <w:jc w:val="center"/>
        <w:textAlignment w:val="auto"/>
        <w:rPr>
          <w:rFonts w:hint="eastAsia" w:ascii="宋体" w:hAnsi="宋体" w:eastAsia="方正小标宋_GBK" w:cs="方正小标宋_GBK"/>
          <w:sz w:val="44"/>
          <w:szCs w:val="44"/>
        </w:rPr>
      </w:pPr>
      <w:r>
        <w:rPr>
          <w:rFonts w:hint="eastAsia" w:ascii="宋体" w:hAnsi="宋体" w:eastAsia="方正小标宋_GBK" w:cs="方正小标宋_GBK"/>
          <w:sz w:val="44"/>
          <w:szCs w:val="44"/>
        </w:rPr>
        <w:t>202</w:t>
      </w:r>
      <w:r>
        <w:rPr>
          <w:rFonts w:hint="eastAsia" w:ascii="宋体" w:hAnsi="宋体" w:eastAsia="方正小标宋_GBK" w:cs="方正小标宋_GBK"/>
          <w:sz w:val="44"/>
          <w:szCs w:val="44"/>
          <w:lang w:val="en-US" w:eastAsia="zh-CN"/>
        </w:rPr>
        <w:t>4年度决算公开</w:t>
      </w:r>
      <w:r>
        <w:rPr>
          <w:rFonts w:hint="eastAsia" w:ascii="宋体" w:hAnsi="宋体" w:eastAsia="方正小标宋_GBK" w:cs="方正小标宋_GBK"/>
          <w:sz w:val="44"/>
          <w:szCs w:val="44"/>
        </w:rPr>
        <w:t>说明</w:t>
      </w:r>
    </w:p>
    <w:p w14:paraId="7E6D5CB6">
      <w:pPr>
        <w:keepNext w:val="0"/>
        <w:keepLines w:val="0"/>
        <w:pageBreakBefore w:val="0"/>
        <w:kinsoku/>
        <w:wordWrap/>
        <w:overflowPunct/>
        <w:topLinePunct w:val="0"/>
        <w:autoSpaceDN/>
        <w:bidi w:val="0"/>
        <w:snapToGrid/>
        <w:spacing w:line="579" w:lineRule="exact"/>
        <w:ind w:firstLine="1090" w:firstLineChars="250"/>
        <w:jc w:val="center"/>
        <w:textAlignment w:val="auto"/>
        <w:rPr>
          <w:rFonts w:hint="eastAsia" w:ascii="宋体" w:hAnsi="宋体" w:eastAsia="方正仿宋_GBK" w:cs="方正仿宋_GBK"/>
          <w:sz w:val="44"/>
          <w:szCs w:val="44"/>
        </w:rPr>
      </w:pPr>
    </w:p>
    <w:p w14:paraId="4BA0B1C7">
      <w:pPr>
        <w:pStyle w:val="9"/>
        <w:keepNext w:val="0"/>
        <w:keepLines w:val="0"/>
        <w:pageBreakBefore w:val="0"/>
        <w:widowControl w:val="0"/>
        <w:tabs>
          <w:tab w:val="center" w:pos="4153"/>
          <w:tab w:val="left" w:pos="7275"/>
        </w:tabs>
        <w:kinsoku/>
        <w:wordWrap/>
        <w:overflowPunct/>
        <w:topLinePunct w:val="0"/>
        <w:autoSpaceDE/>
        <w:autoSpaceDN/>
        <w:bidi w:val="0"/>
        <w:adjustRightInd/>
        <w:snapToGrid/>
        <w:spacing w:line="579" w:lineRule="exact"/>
        <w:ind w:firstLine="640"/>
        <w:textAlignment w:val="auto"/>
        <w:outlineLvl w:val="0"/>
        <w:rPr>
          <w:rFonts w:hint="eastAsia" w:ascii="宋体" w:hAnsi="宋体" w:eastAsia="方正黑体_GBK" w:cs="方正黑体_GBK"/>
          <w:sz w:val="32"/>
          <w:szCs w:val="32"/>
        </w:rPr>
      </w:pPr>
      <w:r>
        <w:rPr>
          <w:rFonts w:hint="eastAsia" w:ascii="宋体" w:hAnsi="宋体" w:eastAsia="方正黑体_GBK" w:cs="方正黑体_GBK"/>
          <w:sz w:val="32"/>
          <w:szCs w:val="32"/>
        </w:rPr>
        <w:t>一、单位基本情况</w:t>
      </w:r>
    </w:p>
    <w:p w14:paraId="3564FB38">
      <w:pPr>
        <w:keepNext w:val="0"/>
        <w:keepLines w:val="0"/>
        <w:pageBreakBefore w:val="0"/>
        <w:widowControl w:val="0"/>
        <w:kinsoku/>
        <w:wordWrap/>
        <w:overflowPunct/>
        <w:topLinePunct w:val="0"/>
        <w:autoSpaceDE/>
        <w:autoSpaceDN/>
        <w:bidi w:val="0"/>
        <w:adjustRightInd/>
        <w:snapToGrid/>
        <w:spacing w:line="579" w:lineRule="exact"/>
        <w:ind w:firstLine="632" w:firstLineChars="200"/>
        <w:textAlignment w:val="auto"/>
        <w:outlineLvl w:val="1"/>
        <w:rPr>
          <w:rFonts w:hint="eastAsia" w:ascii="宋体" w:hAnsi="宋体" w:eastAsia="方正楷体_GBK" w:cs="方正楷体_GBK"/>
          <w:kern w:val="0"/>
          <w:sz w:val="32"/>
          <w:szCs w:val="32"/>
          <w:lang w:val="en-US" w:eastAsia="zh-CN"/>
        </w:rPr>
      </w:pPr>
      <w:r>
        <w:rPr>
          <w:rFonts w:hint="eastAsia" w:ascii="宋体" w:hAnsi="宋体" w:eastAsia="方正楷体_GBK" w:cs="方正楷体_GBK"/>
          <w:kern w:val="0"/>
          <w:sz w:val="32"/>
          <w:szCs w:val="32"/>
          <w:lang w:eastAsia="zh-CN"/>
        </w:rPr>
        <w:t>（</w:t>
      </w:r>
      <w:r>
        <w:rPr>
          <w:rFonts w:hint="eastAsia" w:ascii="宋体" w:hAnsi="宋体" w:eastAsia="方正楷体_GBK" w:cs="方正楷体_GBK"/>
          <w:kern w:val="0"/>
          <w:sz w:val="32"/>
          <w:szCs w:val="32"/>
          <w:lang w:val="en-US" w:eastAsia="zh-CN"/>
        </w:rPr>
        <w:t>一</w:t>
      </w:r>
      <w:r>
        <w:rPr>
          <w:rFonts w:hint="eastAsia" w:ascii="宋体" w:hAnsi="宋体" w:eastAsia="方正楷体_GBK" w:cs="方正楷体_GBK"/>
          <w:kern w:val="0"/>
          <w:sz w:val="32"/>
          <w:szCs w:val="32"/>
          <w:lang w:eastAsia="zh-CN"/>
        </w:rPr>
        <w:t>）</w:t>
      </w:r>
      <w:r>
        <w:rPr>
          <w:rFonts w:hint="eastAsia" w:ascii="宋体" w:hAnsi="宋体" w:eastAsia="方正楷体_GBK" w:cs="方正楷体_GBK"/>
          <w:kern w:val="0"/>
          <w:sz w:val="32"/>
          <w:szCs w:val="32"/>
          <w:lang w:val="en-US" w:eastAsia="zh-CN"/>
        </w:rPr>
        <w:t>职能职责</w:t>
      </w:r>
    </w:p>
    <w:p w14:paraId="66FBCB72">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32" w:firstLineChars="200"/>
        <w:textAlignment w:val="auto"/>
        <w:outlineLvl w:val="1"/>
        <w:rPr>
          <w:rFonts w:hint="eastAsia" w:ascii="宋体" w:hAnsi="宋体" w:eastAsia="方正楷体_GBK" w:cs="方正楷体_GBK"/>
          <w:kern w:val="0"/>
          <w:sz w:val="32"/>
          <w:szCs w:val="32"/>
          <w:lang w:eastAsia="zh-CN"/>
        </w:rPr>
      </w:pPr>
      <w:r>
        <w:rPr>
          <w:rFonts w:hint="eastAsia" w:ascii="宋体" w:hAnsi="宋体" w:eastAsia="方正仿宋_GBK" w:cs="方正仿宋_GBK"/>
          <w:sz w:val="32"/>
        </w:rPr>
        <w:t>重庆市江津区政务服务管理办公室的职能职责：1.贯彻落实党中央国务院、市委市政府、区委区政府转变政府职能和“放管服”改革有关方针政策，制定转变政府职能、优化政务服务、改善营商环境相应制度、办法、措施并组织实施，承担重庆市江津区人民政府推进政府职能转变和“放管服”改革协调小组办公室日常工作。2.负责牵头推进全区简政放权、放管结合、优化服务工作，完善政务服务管理体制，牵头推进营商环境建设。3.承担行政审批制度改革的组织、执行和指导职责。对区级各部门办理行政审批和公共服务事项的工作实施统一管理。承担重庆市江津区行政审批制度改革办公室日常工作。4.承担区级行政权力事项和公共服务事项清单管理工作，指导镇级行政权力事项和公共服务事项清单管理工作，牵头负责市级行政审批事项的承接、取消、调整工作；牵头负责对区级平台和各镇（街道）放权的审查、指导及运行情况评估工作；牵头建立事中事后监管机制。5.负责区、镇（街道）、村（社区）三级服务体系建设管理，统筹指导、督促区行政服务中心及分中心行政审批服务便民化工作，组织开展业务培训。牵头推进实体大厅规范化建设和网上大厅融合发展。6.负责开展政务服务标准化建设，指导、督促三级服务中心、政府职能部门落实政务服务事项、流程、服务、场所、监督检查评价标准。7.负责推进、指导、协调、监督全区的政府信息公开工作。8.负责全区政府系统电子政务发展和政务信息资源的规划、协调和指导，负责统筹全区电子政务外网网络、全区政务共享应用平台、区政府信息公开平台的建设管理，负责全区政府系统政务机房集约化的建设管理，统筹、指导各镇（街道）、政府各部门电子政务建设。9.负责推进“互联网+政务服务”，开展一体化政务服务平台建设，开展网上审批服务，对全区政务服务效能开展电子监察。10.负责全区服务群众工作中民生事项的研判、分析，统筹服务群众工作系统的运行管理。11.负责规范、健全全区政务服务、电子政务、政务公开的工作机制，开展日常监管和考核工作。受理有关政务服务、电子政务和政务公开的咨询、投诉、建议工作。12.完成区委、区政府交办的其他任务。</w:t>
      </w:r>
    </w:p>
    <w:p w14:paraId="06582202">
      <w:pPr>
        <w:keepNext w:val="0"/>
        <w:keepLines w:val="0"/>
        <w:pageBreakBefore w:val="0"/>
        <w:widowControl w:val="0"/>
        <w:numPr>
          <w:ilvl w:val="0"/>
          <w:numId w:val="1"/>
        </w:numPr>
        <w:kinsoku/>
        <w:wordWrap/>
        <w:overflowPunct/>
        <w:topLinePunct w:val="0"/>
        <w:autoSpaceDE/>
        <w:autoSpaceDN/>
        <w:bidi w:val="0"/>
        <w:adjustRightInd/>
        <w:snapToGrid/>
        <w:spacing w:line="579" w:lineRule="exact"/>
        <w:ind w:firstLine="632" w:firstLineChars="200"/>
        <w:textAlignment w:val="auto"/>
        <w:outlineLvl w:val="1"/>
        <w:rPr>
          <w:rFonts w:hint="eastAsia" w:ascii="宋体" w:hAnsi="宋体" w:eastAsia="方正楷体_GBK" w:cs="方正楷体_GBK"/>
          <w:kern w:val="0"/>
          <w:sz w:val="32"/>
          <w:szCs w:val="32"/>
          <w:lang w:eastAsia="zh-CN"/>
        </w:rPr>
      </w:pPr>
      <w:r>
        <w:rPr>
          <w:rFonts w:hint="eastAsia" w:ascii="宋体" w:hAnsi="宋体" w:eastAsia="方正楷体_GBK" w:cs="方正楷体_GBK"/>
          <w:kern w:val="0"/>
          <w:sz w:val="32"/>
          <w:szCs w:val="32"/>
          <w:lang w:val="en-US" w:eastAsia="zh-CN"/>
        </w:rPr>
        <w:t>机构设置</w:t>
      </w:r>
    </w:p>
    <w:p w14:paraId="437F9BFF">
      <w:pPr>
        <w:keepNext w:val="0"/>
        <w:keepLines w:val="0"/>
        <w:pageBreakBefore w:val="0"/>
        <w:numPr>
          <w:ilvl w:val="0"/>
          <w:numId w:val="0"/>
        </w:numPr>
        <w:kinsoku/>
        <w:wordWrap/>
        <w:overflowPunct/>
        <w:topLinePunct w:val="0"/>
        <w:autoSpaceDN/>
        <w:bidi w:val="0"/>
        <w:adjustRightInd/>
        <w:snapToGrid/>
        <w:spacing w:line="579" w:lineRule="exact"/>
        <w:ind w:firstLine="632" w:firstLineChars="200"/>
        <w:textAlignment w:val="auto"/>
        <w:rPr>
          <w:rFonts w:hint="eastAsia" w:ascii="宋体" w:hAnsi="宋体" w:eastAsia="方正仿宋_GBK" w:cs="方正仿宋_GBK"/>
          <w:sz w:val="32"/>
        </w:rPr>
      </w:pPr>
      <w:r>
        <w:rPr>
          <w:rFonts w:hint="eastAsia" w:ascii="宋体" w:hAnsi="宋体" w:eastAsia="方正仿宋_GBK" w:cs="方正仿宋_GBK"/>
          <w:sz w:val="32"/>
        </w:rPr>
        <w:t>重庆市江津区政务服务管理办公室下属事业单位2个：重庆市江津区行政服务中心、重庆市江津区电子政务服务中心。</w:t>
      </w:r>
    </w:p>
    <w:p w14:paraId="3DAFD89F">
      <w:pPr>
        <w:keepNext w:val="0"/>
        <w:keepLines w:val="0"/>
        <w:pageBreakBefore w:val="0"/>
        <w:numPr>
          <w:ilvl w:val="0"/>
          <w:numId w:val="0"/>
        </w:numPr>
        <w:kinsoku/>
        <w:wordWrap/>
        <w:overflowPunct/>
        <w:topLinePunct w:val="0"/>
        <w:autoSpaceDN/>
        <w:bidi w:val="0"/>
        <w:adjustRightInd/>
        <w:snapToGrid/>
        <w:spacing w:line="579" w:lineRule="exact"/>
        <w:ind w:firstLine="632" w:firstLineChars="200"/>
        <w:textAlignment w:val="auto"/>
        <w:rPr>
          <w:rFonts w:hint="eastAsia" w:ascii="宋体" w:hAnsi="宋体" w:eastAsia="方正仿宋_GBK" w:cs="方正仿宋_GBK"/>
          <w:kern w:val="0"/>
          <w:sz w:val="32"/>
          <w:szCs w:val="32"/>
          <w:lang w:eastAsia="zh-CN"/>
        </w:rPr>
      </w:pPr>
      <w:r>
        <w:rPr>
          <w:rFonts w:hint="eastAsia" w:ascii="宋体" w:hAnsi="宋体" w:eastAsia="方正仿宋_GBK" w:cs="方正仿宋_GBK"/>
          <w:sz w:val="32"/>
        </w:rPr>
        <w:t>重庆市江津区政务服务管理办公室设3个内设机构：综合科、政务服务管理科（重庆市江津区行政审批制度改革办公室）、效能监察科。</w:t>
      </w:r>
    </w:p>
    <w:p w14:paraId="2E81B876">
      <w:pPr>
        <w:keepNext w:val="0"/>
        <w:keepLines w:val="0"/>
        <w:pageBreakBefore w:val="0"/>
        <w:widowControl w:val="0"/>
        <w:numPr>
          <w:ilvl w:val="0"/>
          <w:numId w:val="2"/>
        </w:numPr>
        <w:kinsoku/>
        <w:wordWrap/>
        <w:overflowPunct/>
        <w:topLinePunct w:val="0"/>
        <w:autoSpaceDE/>
        <w:autoSpaceDN/>
        <w:bidi w:val="0"/>
        <w:adjustRightInd/>
        <w:snapToGrid/>
        <w:spacing w:line="579" w:lineRule="exact"/>
        <w:ind w:firstLine="632" w:firstLineChars="200"/>
        <w:textAlignment w:val="auto"/>
        <w:outlineLvl w:val="0"/>
        <w:rPr>
          <w:rFonts w:hint="eastAsia" w:ascii="宋体" w:hAnsi="宋体" w:eastAsia="方正黑体_GBK" w:cs="方正黑体_GBK"/>
          <w:sz w:val="32"/>
          <w:szCs w:val="32"/>
        </w:rPr>
      </w:pPr>
      <w:r>
        <w:rPr>
          <w:rFonts w:hint="eastAsia" w:ascii="宋体" w:hAnsi="宋体" w:eastAsia="方正黑体_GBK" w:cs="方正黑体_GBK"/>
          <w:sz w:val="32"/>
          <w:szCs w:val="32"/>
        </w:rPr>
        <w:t>部门决算情况</w:t>
      </w:r>
    </w:p>
    <w:p w14:paraId="20E041D9">
      <w:pPr>
        <w:keepNext w:val="0"/>
        <w:keepLines w:val="0"/>
        <w:pageBreakBefore w:val="0"/>
        <w:widowControl w:val="0"/>
        <w:numPr>
          <w:ilvl w:val="0"/>
          <w:numId w:val="3"/>
        </w:numPr>
        <w:kinsoku/>
        <w:wordWrap/>
        <w:overflowPunct/>
        <w:topLinePunct w:val="0"/>
        <w:autoSpaceDE/>
        <w:autoSpaceDN/>
        <w:bidi w:val="0"/>
        <w:adjustRightInd/>
        <w:snapToGrid/>
        <w:spacing w:line="579" w:lineRule="exact"/>
        <w:ind w:firstLine="632" w:firstLineChars="200"/>
        <w:textAlignment w:val="auto"/>
        <w:outlineLvl w:val="1"/>
        <w:rPr>
          <w:rFonts w:hint="eastAsia" w:ascii="宋体" w:hAnsi="宋体" w:eastAsia="方正楷体_GBK" w:cs="方正楷体_GBK"/>
          <w:sz w:val="32"/>
          <w:szCs w:val="32"/>
          <w:lang w:val="en-US" w:eastAsia="zh-CN"/>
        </w:rPr>
      </w:pPr>
      <w:r>
        <w:rPr>
          <w:rFonts w:hint="eastAsia" w:ascii="宋体" w:hAnsi="宋体" w:eastAsia="方正楷体_GBK" w:cs="方正楷体_GBK"/>
          <w:sz w:val="32"/>
          <w:szCs w:val="32"/>
          <w:lang w:val="en-US" w:eastAsia="zh-CN"/>
        </w:rPr>
        <w:t>部门收支总体情况</w:t>
      </w:r>
    </w:p>
    <w:p w14:paraId="3114AAED">
      <w:pPr>
        <w:keepNext w:val="0"/>
        <w:keepLines w:val="0"/>
        <w:pageBreakBefore w:val="0"/>
        <w:widowControl w:val="0"/>
        <w:numPr>
          <w:ilvl w:val="0"/>
          <w:numId w:val="4"/>
        </w:numPr>
        <w:kinsoku/>
        <w:wordWrap/>
        <w:overflowPunct/>
        <w:topLinePunct w:val="0"/>
        <w:autoSpaceDE/>
        <w:autoSpaceDN/>
        <w:bidi w:val="0"/>
        <w:adjustRightInd/>
        <w:snapToGrid/>
        <w:spacing w:line="579" w:lineRule="exact"/>
        <w:ind w:firstLine="632" w:firstLineChars="200"/>
        <w:textAlignment w:val="auto"/>
        <w:rPr>
          <w:rFonts w:hint="eastAsia" w:ascii="宋体" w:hAnsi="宋体" w:eastAsia="方正仿宋_GBK" w:cs="方正仿宋_GBK"/>
          <w:b/>
          <w:bCs/>
          <w:sz w:val="32"/>
          <w:szCs w:val="32"/>
          <w:lang w:val="en-US" w:eastAsia="zh-CN"/>
        </w:rPr>
      </w:pPr>
      <w:r>
        <w:rPr>
          <w:rFonts w:hint="eastAsia" w:ascii="宋体" w:hAnsi="宋体" w:eastAsia="方正仿宋_GBK" w:cs="方正仿宋_GBK"/>
          <w:b/>
          <w:bCs/>
          <w:sz w:val="32"/>
          <w:szCs w:val="32"/>
          <w:lang w:val="en-US" w:eastAsia="zh-CN"/>
        </w:rPr>
        <w:t>收入支出总体情况。</w:t>
      </w:r>
      <w:r>
        <w:rPr>
          <w:rFonts w:hint="eastAsia" w:ascii="宋体" w:hAnsi="宋体" w:eastAsia="方正仿宋_GBK" w:cs="方正仿宋_GBK"/>
          <w:b w:val="0"/>
          <w:bCs w:val="0"/>
          <w:sz w:val="32"/>
          <w:szCs w:val="32"/>
          <w:lang w:val="en-US" w:eastAsia="zh-CN"/>
        </w:rPr>
        <w:t>2024年度收入总计3027.5万元，支出总计3027.5万元。收支较上年增加236.34万元，增长8.47%，主要原因为人员工资提高，且事业人员养老保险缴费基数提高，相应增加人员经费11.52万元；公用经费弥补人员经费减少，较2023年公用经费增加0.69万元。2024年物业管理费、电子政务平台运维项目增加350.50万元，新增大数据短信服务、电子政务外网数据交换和链路租赁、江津区协同办公系统和即时通讯的信息安全三级等级检测四个项目312.08万元，共增加662.58万元；2023年一次性项目36.89万元</w:t>
      </w:r>
      <w:r>
        <w:rPr>
          <w:rFonts w:hint="eastAsia" w:ascii="宋体" w:hAnsi="宋体" w:cs="方正仿宋_GBK"/>
          <w:b w:val="0"/>
          <w:bCs w:val="0"/>
          <w:sz w:val="32"/>
          <w:szCs w:val="32"/>
          <w:lang w:val="en-US" w:eastAsia="zh-CN"/>
        </w:rPr>
        <w:t>，</w:t>
      </w:r>
      <w:r>
        <w:rPr>
          <w:rFonts w:hint="eastAsia" w:ascii="宋体" w:hAnsi="宋体" w:eastAsia="方正仿宋_GBK" w:cs="方正仿宋_GBK"/>
          <w:b w:val="0"/>
          <w:bCs w:val="0"/>
          <w:sz w:val="32"/>
          <w:szCs w:val="32"/>
          <w:lang w:val="en-US" w:eastAsia="zh-CN"/>
        </w:rPr>
        <w:t>2024年减少依申请公开诉讼代理、政务公开经费、优化营商环境调研、疫情防控费用</w:t>
      </w:r>
      <w:r>
        <w:rPr>
          <w:rFonts w:hint="eastAsia" w:ascii="宋体" w:hAnsi="宋体" w:cs="方正仿宋_GBK"/>
          <w:b w:val="0"/>
          <w:bCs w:val="0"/>
          <w:sz w:val="32"/>
          <w:szCs w:val="32"/>
          <w:lang w:val="en-US" w:eastAsia="zh-CN"/>
        </w:rPr>
        <w:t>四个</w:t>
      </w:r>
      <w:r>
        <w:rPr>
          <w:rFonts w:hint="eastAsia" w:ascii="宋体" w:hAnsi="宋体" w:eastAsia="方正仿宋_GBK" w:cs="方正仿宋_GBK"/>
          <w:b w:val="0"/>
          <w:bCs w:val="0"/>
          <w:sz w:val="32"/>
          <w:szCs w:val="32"/>
          <w:lang w:val="en-US" w:eastAsia="zh-CN"/>
        </w:rPr>
        <w:t>项目13.81万元，2024年食堂运行经费、营商环境宣传、政务服务中心水电费、临聘人员劳务、三级服务体系运维、电子政务网络光纤租赁</w:t>
      </w:r>
      <w:r>
        <w:rPr>
          <w:rFonts w:hint="eastAsia" w:ascii="宋体" w:hAnsi="宋体" w:cs="方正仿宋_GBK"/>
          <w:b w:val="0"/>
          <w:bCs w:val="0"/>
          <w:sz w:val="32"/>
          <w:szCs w:val="32"/>
          <w:lang w:val="en-US" w:eastAsia="zh-CN"/>
        </w:rPr>
        <w:t>六个</w:t>
      </w:r>
      <w:r>
        <w:rPr>
          <w:rFonts w:hint="eastAsia" w:ascii="宋体" w:hAnsi="宋体" w:eastAsia="方正仿宋_GBK" w:cs="方正仿宋_GBK"/>
          <w:b w:val="0"/>
          <w:bCs w:val="0"/>
          <w:sz w:val="32"/>
          <w:szCs w:val="32"/>
          <w:lang w:val="en-US" w:eastAsia="zh-CN"/>
        </w:rPr>
        <w:t>项目减少387.73万元，共减少438.43万元，项目经费合计2024年增加224.14万元。总计增加236.34万元。</w:t>
      </w:r>
    </w:p>
    <w:p w14:paraId="042183E3">
      <w:pPr>
        <w:keepNext w:val="0"/>
        <w:keepLines w:val="0"/>
        <w:pageBreakBefore w:val="0"/>
        <w:widowControl w:val="0"/>
        <w:numPr>
          <w:ilvl w:val="0"/>
          <w:numId w:val="4"/>
        </w:numPr>
        <w:kinsoku/>
        <w:wordWrap/>
        <w:overflowPunct/>
        <w:topLinePunct w:val="0"/>
        <w:autoSpaceDE/>
        <w:autoSpaceDN/>
        <w:bidi w:val="0"/>
        <w:adjustRightInd/>
        <w:snapToGrid/>
        <w:spacing w:line="579" w:lineRule="exact"/>
        <w:ind w:firstLine="632" w:firstLineChars="200"/>
        <w:textAlignment w:val="auto"/>
        <w:rPr>
          <w:rFonts w:hint="eastAsia" w:ascii="宋体" w:hAnsi="宋体" w:eastAsia="方正仿宋_GBK" w:cs="方正仿宋_GBK"/>
          <w:b/>
          <w:bCs/>
          <w:sz w:val="32"/>
          <w:szCs w:val="32"/>
          <w:lang w:val="en-US" w:eastAsia="zh-CN"/>
        </w:rPr>
      </w:pPr>
      <w:r>
        <w:rPr>
          <w:rFonts w:hint="eastAsia" w:ascii="宋体" w:hAnsi="宋体" w:eastAsia="方正仿宋_GBK" w:cs="方正仿宋_GBK"/>
          <w:b/>
          <w:bCs/>
          <w:sz w:val="32"/>
          <w:szCs w:val="32"/>
          <w:lang w:val="en-US" w:eastAsia="zh-CN"/>
        </w:rPr>
        <w:t>收入情况。</w:t>
      </w:r>
      <w:r>
        <w:rPr>
          <w:rFonts w:hint="eastAsia" w:ascii="宋体" w:hAnsi="宋体" w:eastAsia="方正仿宋_GBK" w:cs="方正仿宋_GBK"/>
          <w:b w:val="0"/>
          <w:bCs w:val="0"/>
          <w:sz w:val="32"/>
          <w:szCs w:val="32"/>
          <w:lang w:val="en-US" w:eastAsia="zh-CN"/>
        </w:rPr>
        <w:t>2024年度本年收入合计3027.5万元，较上年增加236.34万元，增长8.47%，主要原因为人员工资提高，且事业人员养老保险缴费基数提高，相应增加人员经费11.52万元；公用经费弥补人员经费减少，较2023年公用经费增加0.69万元。项目经费物业管理费、电子政务平台运维项目增加350.50万元，新增大数据短信服务、电子政务外网数据交换和链路租赁、江津区协同办公系统和即时通讯的信息安全三级等级检测四个项目312.08万元，共增加662.58万元；2023年一次性项目36.89万元，2024年减少依申请公开诉讼代理、政务公开经费、优化营商环境调研、疫情防控费用</w:t>
      </w:r>
      <w:r>
        <w:rPr>
          <w:rFonts w:hint="eastAsia" w:ascii="宋体" w:hAnsi="宋体" w:cs="方正仿宋_GBK"/>
          <w:b w:val="0"/>
          <w:bCs w:val="0"/>
          <w:sz w:val="32"/>
          <w:szCs w:val="32"/>
          <w:lang w:val="en-US" w:eastAsia="zh-CN"/>
        </w:rPr>
        <w:t>四个</w:t>
      </w:r>
      <w:r>
        <w:rPr>
          <w:rFonts w:hint="eastAsia" w:ascii="宋体" w:hAnsi="宋体" w:eastAsia="方正仿宋_GBK" w:cs="方正仿宋_GBK"/>
          <w:b w:val="0"/>
          <w:bCs w:val="0"/>
          <w:sz w:val="32"/>
          <w:szCs w:val="32"/>
          <w:lang w:val="en-US" w:eastAsia="zh-CN"/>
        </w:rPr>
        <w:t>项目13.81万元，2024年食堂运行经费、营商环境宣传、政务服务中心水电费、临聘人员劳务、三级服务体系运维、电子政务网络光纤租赁项目减少387.73万元，共减少438.43万元，项目经费合计2024年增加224.14万元。总计增加236.34万元。其中：财政拨款收入3027.5万元，占比100%；事业收入0万元，占比0%；其他收入0万元，占比0%。</w:t>
      </w:r>
      <w:r>
        <w:rPr>
          <w:rFonts w:ascii="方正仿宋_GBK" w:hAnsi="方正仿宋_GBK" w:eastAsia="方正仿宋_GBK" w:cs="方正仿宋_GBK"/>
          <w:sz w:val="32"/>
          <w:szCs w:val="32"/>
          <w:shd w:val="clear" w:color="auto" w:fill="FFFFFF"/>
        </w:rPr>
        <w:t>此外，使用非财政拨款结余和专用结余</w:t>
      </w:r>
      <w:r>
        <w:rPr>
          <w:rFonts w:hint="eastAsia" w:ascii="方正仿宋_GBK" w:hAnsi="方正仿宋_GBK" w:eastAsia="方正仿宋_GBK" w:cs="方正仿宋_GBK"/>
          <w:sz w:val="32"/>
          <w:szCs w:val="32"/>
          <w:lang w:val="en-US" w:eastAsia="zh-CN"/>
        </w:rPr>
        <w:t>0</w:t>
      </w:r>
      <w:r>
        <w:rPr>
          <w:rFonts w:ascii="方正仿宋_GBK" w:hAnsi="方正仿宋_GBK" w:eastAsia="方正仿宋_GBK" w:cs="方正仿宋_GBK"/>
          <w:sz w:val="32"/>
          <w:szCs w:val="32"/>
          <w:shd w:val="clear" w:color="auto" w:fill="FFFFFF"/>
        </w:rPr>
        <w:t>万元，年初结转和结余</w:t>
      </w:r>
      <w:r>
        <w:rPr>
          <w:rFonts w:hint="eastAsia" w:ascii="方正仿宋_GBK" w:hAnsi="方正仿宋_GBK" w:eastAsia="方正仿宋_GBK" w:cs="方正仿宋_GBK"/>
          <w:sz w:val="32"/>
          <w:szCs w:val="32"/>
          <w:shd w:val="clear" w:color="auto" w:fill="FFFFFF"/>
          <w:lang w:val="en-US" w:eastAsia="zh-CN"/>
        </w:rPr>
        <w:t>0</w:t>
      </w:r>
      <w:r>
        <w:rPr>
          <w:rFonts w:ascii="方正仿宋_GBK" w:hAnsi="方正仿宋_GBK" w:eastAsia="方正仿宋_GBK" w:cs="方正仿宋_GBK"/>
          <w:sz w:val="32"/>
          <w:szCs w:val="32"/>
          <w:shd w:val="clear" w:color="auto" w:fill="FFFFFF"/>
        </w:rPr>
        <w:t>万元。</w:t>
      </w:r>
    </w:p>
    <w:p w14:paraId="2D8E501D">
      <w:pPr>
        <w:keepNext w:val="0"/>
        <w:keepLines w:val="0"/>
        <w:pageBreakBefore w:val="0"/>
        <w:widowControl w:val="0"/>
        <w:numPr>
          <w:ilvl w:val="0"/>
          <w:numId w:val="4"/>
        </w:numPr>
        <w:kinsoku/>
        <w:wordWrap/>
        <w:overflowPunct/>
        <w:topLinePunct w:val="0"/>
        <w:autoSpaceDE/>
        <w:autoSpaceDN/>
        <w:bidi w:val="0"/>
        <w:adjustRightInd/>
        <w:snapToGrid/>
        <w:spacing w:line="579" w:lineRule="exact"/>
        <w:ind w:firstLine="632" w:firstLineChars="200"/>
        <w:textAlignment w:val="auto"/>
        <w:rPr>
          <w:rFonts w:hint="eastAsia" w:ascii="宋体" w:hAnsi="宋体" w:eastAsia="方正仿宋_GBK" w:cs="方正仿宋_GBK"/>
          <w:b/>
          <w:bCs/>
          <w:sz w:val="32"/>
          <w:szCs w:val="32"/>
          <w:lang w:val="en-US" w:eastAsia="zh-CN"/>
        </w:rPr>
      </w:pPr>
      <w:r>
        <w:rPr>
          <w:rFonts w:hint="eastAsia" w:ascii="宋体" w:hAnsi="宋体" w:eastAsia="方正仿宋_GBK" w:cs="方正仿宋_GBK"/>
          <w:b/>
          <w:bCs/>
          <w:sz w:val="32"/>
          <w:szCs w:val="32"/>
          <w:lang w:val="en-US" w:eastAsia="zh-CN"/>
        </w:rPr>
        <w:t>支出情况。</w:t>
      </w:r>
      <w:r>
        <w:rPr>
          <w:rFonts w:hint="eastAsia" w:ascii="宋体" w:hAnsi="宋体" w:eastAsia="方正仿宋_GBK" w:cs="方正仿宋_GBK"/>
          <w:b w:val="0"/>
          <w:bCs w:val="0"/>
          <w:sz w:val="32"/>
          <w:szCs w:val="32"/>
          <w:lang w:val="en-US" w:eastAsia="zh-CN"/>
        </w:rPr>
        <w:t>2024年度本年支出合计3027.5万元，</w:t>
      </w:r>
      <w:r>
        <w:rPr>
          <w:rFonts w:hint="eastAsia" w:ascii="宋体" w:hAnsi="宋体" w:eastAsia="方正仿宋_GBK" w:cs="方正仿宋_GBK"/>
          <w:sz w:val="32"/>
        </w:rPr>
        <w:t>较</w:t>
      </w:r>
      <w:r>
        <w:rPr>
          <w:rFonts w:hint="eastAsia" w:ascii="宋体" w:hAnsi="宋体" w:eastAsia="方正仿宋_GBK" w:cs="方正仿宋_GBK"/>
          <w:sz w:val="32"/>
          <w:lang w:val="en-US" w:eastAsia="zh-CN"/>
        </w:rPr>
        <w:t>上年</w:t>
      </w:r>
      <w:r>
        <w:rPr>
          <w:rFonts w:hint="eastAsia" w:ascii="宋体" w:hAnsi="宋体" w:eastAsia="方正仿宋_GBK" w:cs="方正仿宋_GBK"/>
          <w:sz w:val="32"/>
        </w:rPr>
        <w:t>增加</w:t>
      </w:r>
      <w:r>
        <w:rPr>
          <w:rFonts w:hint="eastAsia" w:ascii="宋体" w:hAnsi="宋体" w:eastAsia="方正仿宋_GBK" w:cs="方正仿宋_GBK"/>
          <w:sz w:val="32"/>
          <w:lang w:val="en-US" w:eastAsia="zh-CN"/>
        </w:rPr>
        <w:t>236.34</w:t>
      </w:r>
      <w:r>
        <w:rPr>
          <w:rFonts w:hint="eastAsia" w:ascii="宋体" w:hAnsi="宋体" w:eastAsia="方正仿宋_GBK" w:cs="方正仿宋_GBK"/>
          <w:sz w:val="32"/>
        </w:rPr>
        <w:t>万元，</w:t>
      </w:r>
      <w:r>
        <w:rPr>
          <w:rFonts w:hint="eastAsia" w:ascii="宋体" w:hAnsi="宋体" w:eastAsia="方正仿宋_GBK" w:cs="方正仿宋_GBK"/>
          <w:b w:val="0"/>
          <w:bCs w:val="0"/>
          <w:sz w:val="32"/>
          <w:szCs w:val="32"/>
          <w:lang w:val="en-US" w:eastAsia="zh-CN"/>
        </w:rPr>
        <w:t>增长8.47%，</w:t>
      </w:r>
      <w:r>
        <w:rPr>
          <w:rFonts w:hint="eastAsia" w:ascii="宋体" w:hAnsi="宋体" w:eastAsia="方正仿宋_GBK" w:cs="方正仿宋_GBK"/>
          <w:sz w:val="32"/>
        </w:rPr>
        <w:t>主要</w:t>
      </w:r>
      <w:r>
        <w:rPr>
          <w:rFonts w:hint="eastAsia" w:ascii="宋体" w:hAnsi="宋体" w:eastAsia="方正仿宋_GBK" w:cs="方正仿宋_GBK"/>
          <w:sz w:val="32"/>
          <w:lang w:val="en-US" w:eastAsia="zh-CN"/>
        </w:rPr>
        <w:t>原因为人员工资提高，且事业人员养老保险缴费基数提高，相应增加人员经费11.52万元；公用经费弥补人员经费减少，较2023年公用经费增加0.69万元。项目经费物业管理费、电子政务平台运维项目增加350.50万元，新增大数据短信服务、电子政务外网数据交换和链路租赁、江津区协同办公系统和即时通讯的信息安全三级等级检测四个项目312.08万元，共增加662.58万元；2023年一次性项目36.89万元，2024年减少依申请公开诉讼代理、政务公开经费、优化营商环境调研、疫情防控费用项目13.81万元，2024年食堂运行经费、营商环境宣传、政务服务中心水电费、临聘人员劳务、三级服务体系运维、电子政务网络光纤租赁项目减少387.73万元，共减少438.43万元，项目经费合计2024年增加224.14万元。总计增加236.34万元。</w:t>
      </w:r>
      <w:r>
        <w:rPr>
          <w:rFonts w:hint="eastAsia" w:ascii="宋体" w:hAnsi="宋体" w:eastAsia="方正仿宋_GBK" w:cs="方正仿宋_GBK"/>
          <w:b w:val="0"/>
          <w:bCs w:val="0"/>
          <w:sz w:val="32"/>
          <w:szCs w:val="32"/>
          <w:lang w:val="en-US" w:eastAsia="zh-CN"/>
        </w:rPr>
        <w:t>其中：基本支出1194.07万元，占比39.44%；项目支出1833.43万元，占比60.56%。</w:t>
      </w:r>
    </w:p>
    <w:p w14:paraId="2334CCD6">
      <w:pPr>
        <w:keepNext w:val="0"/>
        <w:keepLines w:val="0"/>
        <w:pageBreakBefore w:val="0"/>
        <w:widowControl w:val="0"/>
        <w:numPr>
          <w:ilvl w:val="0"/>
          <w:numId w:val="4"/>
        </w:numPr>
        <w:kinsoku/>
        <w:wordWrap/>
        <w:overflowPunct/>
        <w:topLinePunct w:val="0"/>
        <w:autoSpaceDE/>
        <w:autoSpaceDN/>
        <w:bidi w:val="0"/>
        <w:adjustRightInd/>
        <w:snapToGrid/>
        <w:spacing w:line="579" w:lineRule="exact"/>
        <w:ind w:firstLine="632" w:firstLineChars="200"/>
        <w:textAlignment w:val="auto"/>
        <w:rPr>
          <w:rFonts w:hint="eastAsia" w:ascii="宋体" w:hAnsi="宋体" w:eastAsia="方正仿宋_GBK" w:cs="方正仿宋_GBK"/>
          <w:kern w:val="0"/>
          <w:sz w:val="32"/>
          <w:szCs w:val="32"/>
          <w:lang w:val="en-US" w:eastAsia="zh-CN"/>
        </w:rPr>
      </w:pPr>
      <w:r>
        <w:rPr>
          <w:rFonts w:hint="eastAsia" w:ascii="宋体" w:hAnsi="宋体" w:eastAsia="方正仿宋_GBK" w:cs="方正仿宋_GBK"/>
          <w:b/>
          <w:bCs/>
          <w:sz w:val="32"/>
          <w:szCs w:val="32"/>
          <w:lang w:val="en-US" w:eastAsia="zh-CN"/>
        </w:rPr>
        <w:t>结转结余情况。</w:t>
      </w:r>
      <w:r>
        <w:rPr>
          <w:rFonts w:hint="eastAsia" w:ascii="宋体" w:hAnsi="宋体" w:eastAsia="方正仿宋_GBK" w:cs="方正仿宋_GBK"/>
          <w:b w:val="0"/>
          <w:bCs w:val="0"/>
          <w:sz w:val="32"/>
          <w:szCs w:val="32"/>
          <w:lang w:val="en-US" w:eastAsia="zh-CN"/>
        </w:rPr>
        <w:t>2024年度年末结转和结余0万元，与2023年度持平，主要原因是均无年末结转和结余</w:t>
      </w:r>
      <w:r>
        <w:rPr>
          <w:rFonts w:hint="eastAsia" w:ascii="宋体" w:hAnsi="宋体" w:eastAsia="方正仿宋_GBK" w:cs="方正仿宋_GBK"/>
          <w:kern w:val="0"/>
          <w:sz w:val="32"/>
          <w:szCs w:val="32"/>
          <w:lang w:val="en-US" w:eastAsia="zh-CN"/>
        </w:rPr>
        <w:t>。</w:t>
      </w:r>
    </w:p>
    <w:p w14:paraId="06B44773">
      <w:pPr>
        <w:keepNext w:val="0"/>
        <w:keepLines w:val="0"/>
        <w:pageBreakBefore w:val="0"/>
        <w:widowControl w:val="0"/>
        <w:numPr>
          <w:ilvl w:val="0"/>
          <w:numId w:val="3"/>
        </w:numPr>
        <w:kinsoku/>
        <w:wordWrap/>
        <w:overflowPunct/>
        <w:topLinePunct w:val="0"/>
        <w:autoSpaceDE/>
        <w:autoSpaceDN/>
        <w:bidi w:val="0"/>
        <w:adjustRightInd/>
        <w:snapToGrid/>
        <w:spacing w:line="579" w:lineRule="exact"/>
        <w:ind w:firstLine="632" w:firstLineChars="200"/>
        <w:textAlignment w:val="auto"/>
        <w:outlineLvl w:val="1"/>
        <w:rPr>
          <w:rFonts w:hint="eastAsia" w:ascii="宋体" w:hAnsi="宋体" w:eastAsia="方正楷体_GBK" w:cs="方正楷体_GBK"/>
          <w:sz w:val="32"/>
          <w:szCs w:val="32"/>
          <w:lang w:val="en-US" w:eastAsia="zh-CN"/>
        </w:rPr>
      </w:pPr>
      <w:r>
        <w:rPr>
          <w:rFonts w:hint="eastAsia" w:ascii="宋体" w:hAnsi="宋体" w:eastAsia="方正楷体_GBK" w:cs="方正楷体_GBK"/>
          <w:sz w:val="32"/>
          <w:szCs w:val="32"/>
          <w:lang w:val="en-US" w:eastAsia="zh-CN"/>
        </w:rPr>
        <w:t>财政拨款收支总体情况</w:t>
      </w:r>
    </w:p>
    <w:p w14:paraId="5396BEEA">
      <w:pPr>
        <w:keepNext w:val="0"/>
        <w:keepLines w:val="0"/>
        <w:pageBreakBefore w:val="0"/>
        <w:widowControl w:val="0"/>
        <w:kinsoku/>
        <w:wordWrap/>
        <w:overflowPunct/>
        <w:topLinePunct w:val="0"/>
        <w:autoSpaceDE/>
        <w:autoSpaceDN/>
        <w:bidi w:val="0"/>
        <w:adjustRightInd/>
        <w:snapToGrid/>
        <w:spacing w:line="579" w:lineRule="exact"/>
        <w:ind w:firstLine="632" w:firstLineChars="200"/>
        <w:textAlignment w:val="auto"/>
        <w:rPr>
          <w:rFonts w:hint="eastAsia" w:ascii="宋体" w:hAnsi="宋体" w:eastAsia="方正仿宋_GBK" w:cs="方正仿宋_GBK"/>
          <w:sz w:val="32"/>
          <w:lang w:val="en-US" w:eastAsia="zh-CN"/>
        </w:rPr>
      </w:pPr>
      <w:r>
        <w:rPr>
          <w:rFonts w:hint="eastAsia" w:ascii="宋体" w:hAnsi="宋体" w:eastAsia="方正仿宋_GBK" w:cs="方正仿宋_GBK"/>
          <w:sz w:val="32"/>
          <w:lang w:val="en-US" w:eastAsia="zh-CN"/>
        </w:rPr>
        <w:t>2024年度财政拨款收入总计3027.5万元，支出总计3027.5万元。</w:t>
      </w:r>
      <w:r>
        <w:rPr>
          <w:rFonts w:hint="eastAsia" w:ascii="宋体" w:hAnsi="宋体" w:eastAsia="方正仿宋_GBK" w:cs="方正仿宋_GBK"/>
          <w:sz w:val="32"/>
        </w:rPr>
        <w:t>收支较上年增加</w:t>
      </w:r>
      <w:r>
        <w:rPr>
          <w:rFonts w:hint="eastAsia" w:ascii="宋体" w:hAnsi="宋体" w:eastAsia="方正仿宋_GBK" w:cs="方正仿宋_GBK"/>
          <w:sz w:val="32"/>
          <w:lang w:val="en-US" w:eastAsia="zh-CN"/>
        </w:rPr>
        <w:t>236.34</w:t>
      </w:r>
      <w:r>
        <w:rPr>
          <w:rFonts w:hint="eastAsia" w:ascii="宋体" w:hAnsi="宋体" w:eastAsia="方正仿宋_GBK" w:cs="方正仿宋_GBK"/>
          <w:sz w:val="32"/>
        </w:rPr>
        <w:t>万元</w:t>
      </w:r>
      <w:r>
        <w:rPr>
          <w:rFonts w:hint="eastAsia" w:ascii="宋体" w:hAnsi="宋体" w:eastAsia="方正仿宋_GBK" w:cs="方正仿宋_GBK"/>
          <w:sz w:val="32"/>
          <w:lang w:eastAsia="zh-CN"/>
        </w:rPr>
        <w:t>，</w:t>
      </w:r>
      <w:r>
        <w:rPr>
          <w:rFonts w:hint="eastAsia" w:ascii="宋体" w:hAnsi="宋体" w:eastAsia="方正仿宋_GBK" w:cs="方正仿宋_GBK"/>
          <w:sz w:val="32"/>
          <w:lang w:val="en-US" w:eastAsia="zh-CN"/>
        </w:rPr>
        <w:t>增长8.47%，</w:t>
      </w:r>
      <w:r>
        <w:rPr>
          <w:rFonts w:hint="eastAsia" w:ascii="宋体" w:hAnsi="宋体" w:eastAsia="方正仿宋_GBK" w:cs="方正仿宋_GBK"/>
          <w:sz w:val="32"/>
        </w:rPr>
        <w:t>主要原因</w:t>
      </w:r>
      <w:r>
        <w:rPr>
          <w:rFonts w:hint="eastAsia" w:ascii="宋体" w:hAnsi="宋体" w:eastAsia="方正仿宋_GBK" w:cs="方正仿宋_GBK"/>
          <w:sz w:val="32"/>
          <w:lang w:val="en-US" w:eastAsia="zh-CN"/>
        </w:rPr>
        <w:t>为人员工资提高，且事业人员养老保险缴费基数提高，相应增加人员经费11.52万元；公用经费弥补人员经费减少，较2023年公用经费增加0.69万元。项目经费物业管理费、电子政务平台运维项目增加350.50万元，新增大数据短信服务、电子政务外网数据交换和链路租赁、江津区协同办公系统和即时通讯的信息安全三级等级检测四个项目312.08万元，共增加662.58万元；2023年一次性项目36.89万元，2024年减少依申请公开诉讼代理、政务公开经费、优化营商环境调研、疫情防控费用项目13.81万元，2024年食堂运行经费、营商环境宣传、政务服务中心水电费、临聘人员劳务、三级服务体系运维、电子政务网络光纤租赁项目减少387.73万元，共减少438.43万元，项目经费合计2024年增加224.14万元。总计增加236.34万元。</w:t>
      </w:r>
    </w:p>
    <w:p w14:paraId="21E001D3">
      <w:pPr>
        <w:keepNext w:val="0"/>
        <w:keepLines w:val="0"/>
        <w:pageBreakBefore w:val="0"/>
        <w:widowControl w:val="0"/>
        <w:numPr>
          <w:ilvl w:val="0"/>
          <w:numId w:val="3"/>
        </w:numPr>
        <w:kinsoku/>
        <w:wordWrap/>
        <w:overflowPunct/>
        <w:topLinePunct w:val="0"/>
        <w:autoSpaceDE/>
        <w:autoSpaceDN/>
        <w:bidi w:val="0"/>
        <w:adjustRightInd/>
        <w:snapToGrid/>
        <w:spacing w:line="579" w:lineRule="exact"/>
        <w:ind w:firstLine="632" w:firstLineChars="200"/>
        <w:textAlignment w:val="auto"/>
        <w:outlineLvl w:val="1"/>
        <w:rPr>
          <w:rFonts w:hint="eastAsia" w:ascii="宋体" w:hAnsi="宋体" w:eastAsia="方正楷体_GBK" w:cs="方正楷体_GBK"/>
          <w:sz w:val="32"/>
          <w:szCs w:val="32"/>
          <w:lang w:val="en-US" w:eastAsia="zh-CN"/>
        </w:rPr>
      </w:pPr>
      <w:r>
        <w:rPr>
          <w:rFonts w:hint="eastAsia" w:ascii="宋体" w:hAnsi="宋体" w:eastAsia="方正楷体_GBK" w:cs="方正楷体_GBK"/>
          <w:sz w:val="32"/>
          <w:szCs w:val="32"/>
          <w:lang w:val="en-US" w:eastAsia="zh-CN"/>
        </w:rPr>
        <w:t>一般公共预算财政拨款收支总体情况</w:t>
      </w:r>
    </w:p>
    <w:p w14:paraId="3CFA0015">
      <w:pPr>
        <w:keepNext w:val="0"/>
        <w:keepLines w:val="0"/>
        <w:pageBreakBefore w:val="0"/>
        <w:numPr>
          <w:ilvl w:val="0"/>
          <w:numId w:val="5"/>
        </w:numPr>
        <w:kinsoku/>
        <w:wordWrap/>
        <w:overflowPunct/>
        <w:topLinePunct w:val="0"/>
        <w:autoSpaceDN/>
        <w:bidi w:val="0"/>
        <w:adjustRightInd/>
        <w:snapToGrid/>
        <w:spacing w:line="579" w:lineRule="exact"/>
        <w:ind w:firstLine="632" w:firstLineChars="200"/>
        <w:textAlignment w:val="auto"/>
        <w:rPr>
          <w:rFonts w:hint="eastAsia" w:ascii="宋体" w:hAnsi="宋体" w:eastAsia="方正仿宋_GBK" w:cs="方正仿宋_GBK"/>
          <w:b/>
          <w:bCs/>
          <w:sz w:val="32"/>
          <w:lang w:val="en-US" w:eastAsia="zh-CN"/>
        </w:rPr>
      </w:pPr>
      <w:r>
        <w:rPr>
          <w:rFonts w:hint="eastAsia" w:ascii="宋体" w:hAnsi="宋体" w:eastAsia="方正仿宋_GBK" w:cs="方正仿宋_GBK"/>
          <w:b/>
          <w:bCs/>
          <w:sz w:val="32"/>
          <w:lang w:val="en-US" w:eastAsia="zh-CN"/>
        </w:rPr>
        <w:t>收入情况。</w:t>
      </w:r>
      <w:r>
        <w:rPr>
          <w:rFonts w:hint="eastAsia" w:ascii="宋体" w:hAnsi="宋体" w:eastAsia="方正仿宋_GBK" w:cs="方正仿宋_GBK"/>
          <w:color w:val="auto"/>
          <w:sz w:val="32"/>
        </w:rPr>
        <w:t>202</w:t>
      </w:r>
      <w:r>
        <w:rPr>
          <w:rFonts w:hint="eastAsia" w:ascii="宋体" w:hAnsi="宋体" w:eastAsia="方正仿宋_GBK" w:cs="方正仿宋_GBK"/>
          <w:color w:val="auto"/>
          <w:sz w:val="32"/>
          <w:lang w:val="en-US" w:eastAsia="zh-CN"/>
        </w:rPr>
        <w:t>4</w:t>
      </w:r>
      <w:r>
        <w:rPr>
          <w:rFonts w:hint="eastAsia" w:ascii="宋体" w:hAnsi="宋体" w:eastAsia="方正仿宋_GBK" w:cs="方正仿宋_GBK"/>
          <w:color w:val="auto"/>
          <w:sz w:val="32"/>
        </w:rPr>
        <w:t>年度一般公共预算财政拨款收入</w:t>
      </w:r>
      <w:r>
        <w:rPr>
          <w:rFonts w:hint="eastAsia" w:ascii="宋体" w:hAnsi="宋体" w:eastAsia="方正仿宋_GBK" w:cs="方正仿宋_GBK"/>
          <w:color w:val="auto"/>
          <w:sz w:val="32"/>
          <w:lang w:val="en-US" w:eastAsia="zh-CN"/>
        </w:rPr>
        <w:t>3027.5</w:t>
      </w:r>
      <w:r>
        <w:rPr>
          <w:rFonts w:hint="eastAsia" w:ascii="宋体" w:hAnsi="宋体" w:eastAsia="方正仿宋_GBK" w:cs="方正仿宋_GBK"/>
          <w:color w:val="auto"/>
          <w:sz w:val="32"/>
        </w:rPr>
        <w:t>万元，较上年</w:t>
      </w:r>
      <w:r>
        <w:rPr>
          <w:rFonts w:hint="eastAsia" w:ascii="宋体" w:hAnsi="宋体" w:eastAsia="方正仿宋_GBK" w:cs="方正仿宋_GBK"/>
          <w:color w:val="auto"/>
          <w:sz w:val="32"/>
          <w:lang w:val="en-US" w:eastAsia="zh-CN"/>
        </w:rPr>
        <w:t>决算数增加236.34</w:t>
      </w:r>
      <w:r>
        <w:rPr>
          <w:rFonts w:hint="eastAsia" w:ascii="宋体" w:hAnsi="宋体" w:eastAsia="方正仿宋_GBK" w:cs="方正仿宋_GBK"/>
          <w:color w:val="auto"/>
          <w:sz w:val="32"/>
        </w:rPr>
        <w:t>万元，</w:t>
      </w:r>
      <w:r>
        <w:rPr>
          <w:rFonts w:hint="eastAsia" w:ascii="宋体" w:hAnsi="宋体" w:eastAsia="方正仿宋_GBK" w:cs="方正仿宋_GBK"/>
          <w:color w:val="auto"/>
          <w:sz w:val="32"/>
          <w:lang w:val="en-US" w:eastAsia="zh-CN"/>
        </w:rPr>
        <w:t>增长8.47</w:t>
      </w:r>
      <w:r>
        <w:rPr>
          <w:rFonts w:hint="eastAsia" w:ascii="宋体" w:hAnsi="宋体" w:eastAsia="方正仿宋_GBK" w:cs="方正仿宋_GBK"/>
          <w:color w:val="auto"/>
          <w:sz w:val="32"/>
        </w:rPr>
        <w:t>%</w:t>
      </w:r>
      <w:r>
        <w:rPr>
          <w:rFonts w:hint="eastAsia" w:ascii="宋体" w:hAnsi="宋体" w:eastAsia="方正仿宋_GBK" w:cs="方正仿宋_GBK"/>
          <w:color w:val="auto"/>
          <w:sz w:val="32"/>
          <w:lang w:eastAsia="zh-CN"/>
        </w:rPr>
        <w:t>，</w:t>
      </w:r>
      <w:r>
        <w:rPr>
          <w:rFonts w:hint="eastAsia" w:ascii="宋体" w:hAnsi="宋体" w:eastAsia="方正仿宋_GBK" w:cs="方正仿宋_GBK"/>
          <w:color w:val="auto"/>
          <w:sz w:val="32"/>
        </w:rPr>
        <w:t>主要原因</w:t>
      </w:r>
      <w:r>
        <w:rPr>
          <w:rFonts w:hint="eastAsia" w:ascii="宋体" w:hAnsi="宋体" w:eastAsia="方正仿宋_GBK" w:cs="方正仿宋_GBK"/>
          <w:color w:val="auto"/>
          <w:sz w:val="32"/>
          <w:lang w:val="en-US" w:eastAsia="zh-CN"/>
        </w:rPr>
        <w:t>为</w:t>
      </w:r>
      <w:r>
        <w:rPr>
          <w:rFonts w:hint="eastAsia" w:ascii="宋体" w:hAnsi="宋体" w:eastAsia="方正仿宋_GBK" w:cs="方正仿宋_GBK"/>
          <w:b w:val="0"/>
          <w:bCs w:val="0"/>
          <w:color w:val="auto"/>
          <w:sz w:val="32"/>
          <w:lang w:val="en-US" w:eastAsia="zh-CN"/>
        </w:rPr>
        <w:t>人员工资提高，且事业人员养老保险缴费基数提高，相应增加人员经费11.52万元；公用经费弥补人员经费减少，较2023年公用经费增加0.69万元。项目经费物业管理费、电子政务平台运维项目增加350.50万元，新增大数据短信服务、电子政务外网数据交换和链路租赁、江津区协同办公系统和即时通讯的信息安全三级等级检测四个项目312.08万元，共增加662.58万元；2023年一次性项目36.89万元，2024年减少依申请公开诉讼代理、政务公开经费、优化营商环境调研、疫情防控费用项目13.81万元，2024年食堂运行经费、营商环境宣传、政务服务中心水电费、临聘人员劳务、三级服务体系运维、电子政务网络光纤租赁项目减少387.73万元，共减少438.43万元，项目经费合计2024年增加224.14万元。总计增加236.34万元</w:t>
      </w:r>
      <w:r>
        <w:rPr>
          <w:rFonts w:hint="eastAsia" w:ascii="宋体" w:hAnsi="宋体" w:eastAsia="方正仿宋_GBK" w:cs="方正仿宋_GBK"/>
          <w:color w:val="auto"/>
          <w:sz w:val="32"/>
          <w:lang w:val="en-US" w:eastAsia="zh-CN"/>
        </w:rPr>
        <w:t>。较年初预算数减少427.03万元，下降12.36%，主要原因是政务服务中心水电费据实结算，营商环境和政务服务宣传</w:t>
      </w:r>
      <w:r>
        <w:rPr>
          <w:rFonts w:hint="eastAsia" w:ascii="宋体" w:hAnsi="宋体" w:cs="方正仿宋_GBK"/>
          <w:color w:val="auto"/>
          <w:sz w:val="32"/>
          <w:lang w:val="en-US" w:eastAsia="zh-CN"/>
        </w:rPr>
        <w:t>项目</w:t>
      </w:r>
      <w:r>
        <w:rPr>
          <w:rFonts w:hint="eastAsia" w:ascii="宋体" w:hAnsi="宋体" w:eastAsia="方正仿宋_GBK" w:cs="方正仿宋_GBK"/>
          <w:color w:val="auto"/>
          <w:sz w:val="32"/>
          <w:lang w:val="en-US" w:eastAsia="zh-CN"/>
        </w:rPr>
        <w:t>年中追减经费</w:t>
      </w:r>
      <w:r>
        <w:rPr>
          <w:rFonts w:hint="eastAsia" w:ascii="宋体" w:hAnsi="宋体" w:cs="方正仿宋_GBK"/>
          <w:color w:val="auto"/>
          <w:sz w:val="32"/>
          <w:lang w:val="en-US" w:eastAsia="zh-CN"/>
        </w:rPr>
        <w:t>，</w:t>
      </w:r>
      <w:r>
        <w:rPr>
          <w:rFonts w:hint="eastAsia" w:ascii="宋体" w:hAnsi="宋体" w:eastAsia="方正仿宋_GBK" w:cs="方正仿宋_GBK"/>
          <w:color w:val="auto"/>
          <w:sz w:val="32"/>
          <w:lang w:val="en-US" w:eastAsia="zh-CN"/>
        </w:rPr>
        <w:t>三级服务体系运维、电子政务网络光纤租赁、电子政务平台运维、电子政务外网数据交换服务和链路租赁项目按合同约定仅支付部分费用，预算</w:t>
      </w:r>
      <w:r>
        <w:rPr>
          <w:rFonts w:hint="eastAsia" w:ascii="宋体" w:hAnsi="宋体" w:cs="方正仿宋_GBK"/>
          <w:color w:val="auto"/>
          <w:sz w:val="32"/>
          <w:lang w:val="en-US" w:eastAsia="zh-CN"/>
        </w:rPr>
        <w:t>数</w:t>
      </w:r>
      <w:r>
        <w:rPr>
          <w:rFonts w:hint="eastAsia" w:ascii="宋体" w:hAnsi="宋体" w:eastAsia="方正仿宋_GBK" w:cs="方正仿宋_GBK"/>
          <w:color w:val="auto"/>
          <w:sz w:val="32"/>
          <w:lang w:val="en-US" w:eastAsia="zh-CN"/>
        </w:rPr>
        <w:t>按照合同金额下达。</w:t>
      </w:r>
      <w:r>
        <w:rPr>
          <w:rFonts w:ascii="方正仿宋_GBK" w:hAnsi="方正仿宋_GBK" w:eastAsia="方正仿宋_GBK" w:cs="方正仿宋_GBK"/>
          <w:sz w:val="32"/>
          <w:szCs w:val="32"/>
          <w:shd w:val="clear" w:color="auto" w:fill="FFFFFF"/>
        </w:rPr>
        <w:t>此外，年初财政拨款结转和结余</w:t>
      </w:r>
      <w:r>
        <w:rPr>
          <w:rFonts w:hint="eastAsia" w:ascii="方正仿宋_GBK" w:hAnsi="方正仿宋_GBK" w:eastAsia="方正仿宋_GBK" w:cs="方正仿宋_GBK"/>
          <w:sz w:val="32"/>
          <w:szCs w:val="32"/>
          <w:lang w:val="en-US" w:eastAsia="zh-CN"/>
        </w:rPr>
        <w:t>0</w:t>
      </w:r>
      <w:r>
        <w:rPr>
          <w:rFonts w:ascii="方正仿宋_GBK" w:hAnsi="方正仿宋_GBK" w:eastAsia="方正仿宋_GBK" w:cs="方正仿宋_GBK"/>
          <w:sz w:val="32"/>
          <w:szCs w:val="32"/>
          <w:shd w:val="clear" w:color="auto" w:fill="FFFFFF"/>
        </w:rPr>
        <w:t>万元。</w:t>
      </w:r>
    </w:p>
    <w:p w14:paraId="6835BE16">
      <w:pPr>
        <w:keepNext w:val="0"/>
        <w:keepLines w:val="0"/>
        <w:pageBreakBefore w:val="0"/>
        <w:numPr>
          <w:ilvl w:val="0"/>
          <w:numId w:val="5"/>
        </w:numPr>
        <w:kinsoku/>
        <w:wordWrap/>
        <w:overflowPunct/>
        <w:topLinePunct w:val="0"/>
        <w:autoSpaceDN/>
        <w:bidi w:val="0"/>
        <w:adjustRightInd/>
        <w:snapToGrid/>
        <w:spacing w:line="579" w:lineRule="exact"/>
        <w:ind w:firstLine="632" w:firstLineChars="200"/>
        <w:textAlignment w:val="auto"/>
        <w:rPr>
          <w:rFonts w:hint="eastAsia" w:ascii="宋体" w:hAnsi="宋体" w:eastAsia="方正仿宋_GBK" w:cs="方正仿宋_GBK"/>
          <w:b/>
          <w:bCs/>
          <w:sz w:val="32"/>
          <w:lang w:val="en-US" w:eastAsia="zh-CN"/>
        </w:rPr>
      </w:pPr>
      <w:r>
        <w:rPr>
          <w:rFonts w:hint="eastAsia" w:ascii="宋体" w:hAnsi="宋体" w:eastAsia="方正仿宋_GBK" w:cs="方正仿宋_GBK"/>
          <w:b/>
          <w:bCs/>
          <w:sz w:val="32"/>
          <w:lang w:val="en-US" w:eastAsia="zh-CN"/>
        </w:rPr>
        <w:t>支出情况。</w:t>
      </w:r>
      <w:r>
        <w:rPr>
          <w:rFonts w:hint="eastAsia" w:ascii="宋体" w:hAnsi="宋体" w:eastAsia="方正仿宋_GBK" w:cs="方正仿宋_GBK"/>
          <w:color w:val="auto"/>
          <w:sz w:val="32"/>
          <w:lang w:val="en-US" w:eastAsia="zh-CN"/>
        </w:rPr>
        <w:t>2024年度一般公共预算财政拨款支出3027.5万元，</w:t>
      </w:r>
      <w:r>
        <w:rPr>
          <w:rFonts w:hint="eastAsia" w:ascii="宋体" w:hAnsi="宋体" w:eastAsia="方正仿宋_GBK" w:cs="方正仿宋_GBK"/>
          <w:color w:val="auto"/>
          <w:sz w:val="32"/>
        </w:rPr>
        <w:t>较上年决算数</w:t>
      </w:r>
      <w:r>
        <w:rPr>
          <w:rFonts w:hint="eastAsia" w:ascii="宋体" w:hAnsi="宋体" w:eastAsia="方正仿宋_GBK" w:cs="方正仿宋_GBK"/>
          <w:color w:val="auto"/>
          <w:sz w:val="32"/>
          <w:lang w:val="en-US" w:eastAsia="zh-CN"/>
        </w:rPr>
        <w:t>增加236.34</w:t>
      </w:r>
      <w:r>
        <w:rPr>
          <w:rFonts w:hint="eastAsia" w:ascii="宋体" w:hAnsi="宋体" w:eastAsia="方正仿宋_GBK" w:cs="方正仿宋_GBK"/>
          <w:color w:val="auto"/>
          <w:sz w:val="32"/>
        </w:rPr>
        <w:t>万元，</w:t>
      </w:r>
      <w:r>
        <w:rPr>
          <w:rFonts w:hint="eastAsia" w:ascii="宋体" w:hAnsi="宋体" w:eastAsia="方正仿宋_GBK" w:cs="方正仿宋_GBK"/>
          <w:color w:val="auto"/>
          <w:sz w:val="32"/>
          <w:lang w:val="en-US" w:eastAsia="zh-CN"/>
        </w:rPr>
        <w:t>增长8.47</w:t>
      </w:r>
      <w:r>
        <w:rPr>
          <w:rFonts w:hint="eastAsia" w:ascii="宋体" w:hAnsi="宋体" w:eastAsia="方正仿宋_GBK" w:cs="方正仿宋_GBK"/>
          <w:color w:val="auto"/>
          <w:sz w:val="32"/>
        </w:rPr>
        <w:t>%</w:t>
      </w:r>
      <w:r>
        <w:rPr>
          <w:rFonts w:hint="eastAsia" w:ascii="宋体" w:hAnsi="宋体" w:eastAsia="方正仿宋_GBK" w:cs="方正仿宋_GBK"/>
          <w:color w:val="auto"/>
          <w:sz w:val="32"/>
          <w:lang w:eastAsia="zh-CN"/>
        </w:rPr>
        <w:t>，</w:t>
      </w:r>
      <w:r>
        <w:rPr>
          <w:rFonts w:hint="eastAsia" w:ascii="宋体" w:hAnsi="宋体" w:eastAsia="方正仿宋_GBK" w:cs="方正仿宋_GBK"/>
          <w:color w:val="auto"/>
          <w:sz w:val="32"/>
        </w:rPr>
        <w:t>主要原因是</w:t>
      </w:r>
      <w:r>
        <w:rPr>
          <w:rFonts w:hint="eastAsia" w:ascii="宋体" w:hAnsi="宋体" w:eastAsia="方正仿宋_GBK" w:cs="方正仿宋_GBK"/>
          <w:color w:val="auto"/>
          <w:sz w:val="32"/>
          <w:lang w:val="en-US" w:eastAsia="zh-CN"/>
        </w:rPr>
        <w:t>人员工资提高，且事业人员养老保险缴费基数提高，相应增加人员经费11.52万元；公用经费弥补人员经费减少，较2023年公用经费增加0.69万元。项目经费物业管理费、电子政务平台运维项目增加350.50万元，新增大数据短信服务、电子政务外网数据交换和链路租赁、江津区协同办公系统和即时通讯的信息安全三级等级检测四个项目312.08万元，共增加662.58万元；2023年一次性项目36.89万元，2024年减少依申请公开诉讼代理、政务公开经费、优化营商环境调研、疫情防控费用项目13.81万元，2024年食堂运行经费、营商环境宣传、政务服务中心水电费、临聘人员劳务、三级服务体系运维、电子政务网络光纤租赁项目减少387.73万元，共减少438.43万元，项目经费合计2024年增加224.14万元。总计增加236.34万元。较年初预算数减少427.03万元，下降12.36%，主要原因是政务服务中心水电费据实结算，营商环境和政务服务宣传</w:t>
      </w:r>
      <w:r>
        <w:rPr>
          <w:rFonts w:hint="eastAsia" w:ascii="宋体" w:hAnsi="宋体" w:cs="方正仿宋_GBK"/>
          <w:color w:val="auto"/>
          <w:sz w:val="32"/>
          <w:lang w:val="en-US" w:eastAsia="zh-CN"/>
        </w:rPr>
        <w:t>项目</w:t>
      </w:r>
      <w:r>
        <w:rPr>
          <w:rFonts w:hint="eastAsia" w:ascii="宋体" w:hAnsi="宋体" w:eastAsia="方正仿宋_GBK" w:cs="方正仿宋_GBK"/>
          <w:color w:val="auto"/>
          <w:sz w:val="32"/>
          <w:lang w:val="en-US" w:eastAsia="zh-CN"/>
        </w:rPr>
        <w:t>年中追减经费</w:t>
      </w:r>
      <w:r>
        <w:rPr>
          <w:rFonts w:hint="eastAsia" w:ascii="宋体" w:hAnsi="宋体" w:cs="方正仿宋_GBK"/>
          <w:color w:val="auto"/>
          <w:sz w:val="32"/>
          <w:lang w:val="en-US" w:eastAsia="zh-CN"/>
        </w:rPr>
        <w:t>，</w:t>
      </w:r>
      <w:r>
        <w:rPr>
          <w:rFonts w:hint="eastAsia" w:ascii="宋体" w:hAnsi="宋体" w:eastAsia="方正仿宋_GBK" w:cs="方正仿宋_GBK"/>
          <w:color w:val="auto"/>
          <w:sz w:val="32"/>
          <w:lang w:val="en-US" w:eastAsia="zh-CN"/>
        </w:rPr>
        <w:t>三级服务体系运维、电子政务网络光纤租赁、电子政务平台运维、电子政务外网数据交换服务和链路租赁项目按合同约定仅支付部分费用，预算</w:t>
      </w:r>
      <w:r>
        <w:rPr>
          <w:rFonts w:hint="eastAsia" w:ascii="宋体" w:hAnsi="宋体" w:cs="方正仿宋_GBK"/>
          <w:color w:val="auto"/>
          <w:sz w:val="32"/>
          <w:lang w:val="en-US" w:eastAsia="zh-CN"/>
        </w:rPr>
        <w:t>数</w:t>
      </w:r>
      <w:r>
        <w:rPr>
          <w:rFonts w:hint="eastAsia" w:ascii="宋体" w:hAnsi="宋体" w:eastAsia="方正仿宋_GBK" w:cs="方正仿宋_GBK"/>
          <w:color w:val="auto"/>
          <w:sz w:val="32"/>
          <w:lang w:val="en-US" w:eastAsia="zh-CN"/>
        </w:rPr>
        <w:t>按照合同金额下达。此外，年初财政拨款结转和结余0万元。</w:t>
      </w:r>
    </w:p>
    <w:p w14:paraId="6B9AB498">
      <w:pPr>
        <w:keepNext w:val="0"/>
        <w:keepLines w:val="0"/>
        <w:pageBreakBefore w:val="0"/>
        <w:numPr>
          <w:ilvl w:val="0"/>
          <w:numId w:val="5"/>
        </w:numPr>
        <w:kinsoku/>
        <w:wordWrap/>
        <w:overflowPunct/>
        <w:topLinePunct w:val="0"/>
        <w:autoSpaceDN/>
        <w:bidi w:val="0"/>
        <w:adjustRightInd/>
        <w:snapToGrid/>
        <w:spacing w:line="579" w:lineRule="exact"/>
        <w:ind w:firstLine="632" w:firstLineChars="200"/>
        <w:textAlignment w:val="auto"/>
        <w:rPr>
          <w:rFonts w:hint="eastAsia" w:ascii="宋体" w:hAnsi="宋体" w:eastAsia="方正仿宋_GBK" w:cs="方正仿宋_GBK"/>
          <w:b/>
          <w:bCs/>
          <w:sz w:val="32"/>
          <w:lang w:val="en-US" w:eastAsia="zh-CN"/>
        </w:rPr>
      </w:pPr>
      <w:r>
        <w:rPr>
          <w:rFonts w:hint="eastAsia" w:ascii="宋体" w:hAnsi="宋体" w:eastAsia="方正仿宋_GBK" w:cs="方正仿宋_GBK"/>
          <w:b/>
          <w:bCs/>
          <w:color w:val="auto"/>
          <w:sz w:val="32"/>
          <w:lang w:val="en-US" w:eastAsia="zh-CN"/>
        </w:rPr>
        <w:t>结转结余情况。</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度年末一般公共预算财政拨款结转和结余</w:t>
      </w:r>
      <w:r>
        <w:rPr>
          <w:rFonts w:hint="eastAsia" w:ascii="方正仿宋_GBK" w:hAnsi="方正仿宋_GBK" w:eastAsia="方正仿宋_GBK" w:cs="方正仿宋_GBK"/>
          <w:sz w:val="32"/>
          <w:szCs w:val="32"/>
          <w:lang w:val="en-US" w:eastAsia="zh-CN"/>
        </w:rPr>
        <w:t>0</w:t>
      </w:r>
      <w:r>
        <w:rPr>
          <w:rFonts w:ascii="方正仿宋_GBK" w:hAnsi="方正仿宋_GBK" w:eastAsia="方正仿宋_GBK" w:cs="方正仿宋_GBK"/>
          <w:sz w:val="32"/>
          <w:szCs w:val="32"/>
          <w:shd w:val="clear" w:color="auto" w:fill="FFFFFF"/>
        </w:rPr>
        <w:t>万元，与2023年度</w:t>
      </w:r>
      <w:r>
        <w:rPr>
          <w:rFonts w:hint="eastAsia" w:ascii="方正仿宋_GBK" w:hAnsi="方正仿宋_GBK" w:eastAsia="方正仿宋_GBK" w:cs="方正仿宋_GBK"/>
          <w:sz w:val="32"/>
          <w:szCs w:val="32"/>
          <w:shd w:val="clear" w:color="auto" w:fill="FFFFFF"/>
          <w:lang w:val="en-US" w:eastAsia="zh-CN"/>
        </w:rPr>
        <w:t>持平</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val="en-US" w:eastAsia="zh-CN"/>
        </w:rPr>
        <w:t>无年末结转结余资金。</w:t>
      </w:r>
    </w:p>
    <w:p w14:paraId="32A35FC6">
      <w:pPr>
        <w:pStyle w:val="5"/>
        <w:keepNext w:val="0"/>
        <w:keepLines w:val="0"/>
        <w:pageBreakBefore w:val="0"/>
        <w:widowControl/>
        <w:numPr>
          <w:ilvl w:val="0"/>
          <w:numId w:val="5"/>
        </w:numPr>
        <w:suppressLineNumbers w:val="0"/>
        <w:kinsoku/>
        <w:wordWrap/>
        <w:overflowPunct/>
        <w:topLinePunct w:val="0"/>
        <w:autoSpaceDE/>
        <w:autoSpaceDN/>
        <w:bidi w:val="0"/>
        <w:adjustRightInd/>
        <w:snapToGrid/>
        <w:spacing w:before="0" w:beforeAutospacing="0" w:after="0" w:afterAutospacing="0" w:line="579" w:lineRule="exact"/>
        <w:ind w:left="0" w:leftChars="0" w:firstLine="632" w:firstLineChars="200"/>
        <w:jc w:val="both"/>
        <w:textAlignment w:val="auto"/>
        <w:rPr>
          <w:rFonts w:hint="eastAsia" w:ascii="宋体" w:hAnsi="宋体" w:eastAsia="方正仿宋_GBK" w:cs="方正仿宋_GBK"/>
          <w:color w:val="auto"/>
          <w:sz w:val="32"/>
          <w:lang w:val="en-US" w:eastAsia="zh-CN"/>
        </w:rPr>
      </w:pPr>
      <w:r>
        <w:rPr>
          <w:rFonts w:hint="eastAsia" w:ascii="宋体" w:hAnsi="宋体" w:eastAsia="方正仿宋_GBK" w:cs="方正仿宋_GBK"/>
          <w:b/>
          <w:bCs/>
          <w:kern w:val="2"/>
          <w:sz w:val="32"/>
          <w:szCs w:val="22"/>
          <w:lang w:val="en-US" w:eastAsia="zh-CN" w:bidi="ar-SA"/>
        </w:rPr>
        <w:t>比较情况。</w:t>
      </w:r>
      <w:r>
        <w:rPr>
          <w:rFonts w:hint="eastAsia" w:ascii="宋体" w:hAnsi="宋体" w:eastAsia="方正仿宋_GBK" w:cs="方正仿宋_GBK"/>
          <w:color w:val="auto"/>
          <w:sz w:val="32"/>
          <w:lang w:val="en-US" w:eastAsia="zh-CN"/>
        </w:rPr>
        <w:t>本部门2024年度一般公共预算财政拨款支出主要用于以下几个方面：</w:t>
      </w:r>
    </w:p>
    <w:p w14:paraId="413FCA8A">
      <w:pPr>
        <w:pStyle w:val="5"/>
        <w:keepNext w:val="0"/>
        <w:keepLines w:val="0"/>
        <w:pageBreakBefore w:val="0"/>
        <w:widowControl/>
        <w:numPr>
          <w:ilvl w:val="0"/>
          <w:numId w:val="6"/>
        </w:numPr>
        <w:suppressLineNumbers w:val="0"/>
        <w:kinsoku/>
        <w:wordWrap/>
        <w:overflowPunct/>
        <w:topLinePunct w:val="0"/>
        <w:autoSpaceDE/>
        <w:autoSpaceDN/>
        <w:bidi w:val="0"/>
        <w:adjustRightInd/>
        <w:snapToGrid/>
        <w:spacing w:before="0" w:beforeAutospacing="0" w:after="0" w:afterAutospacing="0" w:line="579" w:lineRule="exact"/>
        <w:ind w:right="0" w:rightChars="0" w:firstLine="632" w:firstLineChars="200"/>
        <w:jc w:val="both"/>
        <w:textAlignment w:val="auto"/>
        <w:rPr>
          <w:rFonts w:hint="eastAsia" w:ascii="宋体" w:hAnsi="宋体" w:eastAsia="方正仿宋_GBK" w:cs="方正仿宋_GBK"/>
          <w:color w:val="auto"/>
          <w:sz w:val="32"/>
          <w:lang w:val="en-US" w:eastAsia="zh-CN"/>
        </w:rPr>
      </w:pPr>
      <w:r>
        <w:rPr>
          <w:rFonts w:hint="eastAsia" w:ascii="宋体" w:hAnsi="宋体" w:eastAsia="方正仿宋_GBK" w:cs="方正仿宋_GBK"/>
          <w:color w:val="auto"/>
          <w:sz w:val="32"/>
          <w:lang w:val="en-US" w:eastAsia="zh-CN"/>
        </w:rPr>
        <w:t>一般公共服务支出2742.45万元，占比90.59%。较年初预算数减少426.93万元，降低13.47%，主要原因是政务服务中心水电费据实结算，营商环境和政务服务宣传</w:t>
      </w:r>
      <w:r>
        <w:rPr>
          <w:rFonts w:hint="eastAsia" w:ascii="宋体" w:hAnsi="宋体" w:cs="方正仿宋_GBK"/>
          <w:color w:val="auto"/>
          <w:sz w:val="32"/>
          <w:lang w:val="en-US" w:eastAsia="zh-CN"/>
        </w:rPr>
        <w:t>项目</w:t>
      </w:r>
      <w:r>
        <w:rPr>
          <w:rFonts w:hint="eastAsia" w:ascii="宋体" w:hAnsi="宋体" w:eastAsia="方正仿宋_GBK" w:cs="方正仿宋_GBK"/>
          <w:color w:val="auto"/>
          <w:sz w:val="32"/>
          <w:lang w:val="en-US" w:eastAsia="zh-CN"/>
        </w:rPr>
        <w:t>年中追减经费</w:t>
      </w:r>
      <w:r>
        <w:rPr>
          <w:rFonts w:hint="eastAsia" w:ascii="宋体" w:hAnsi="宋体" w:cs="方正仿宋_GBK"/>
          <w:color w:val="auto"/>
          <w:sz w:val="32"/>
          <w:lang w:val="en-US" w:eastAsia="zh-CN"/>
        </w:rPr>
        <w:t>，</w:t>
      </w:r>
      <w:r>
        <w:rPr>
          <w:rFonts w:hint="eastAsia" w:ascii="宋体" w:hAnsi="宋体" w:eastAsia="方正仿宋_GBK" w:cs="方正仿宋_GBK"/>
          <w:color w:val="auto"/>
          <w:sz w:val="32"/>
          <w:lang w:val="en-US" w:eastAsia="zh-CN"/>
        </w:rPr>
        <w:t>三级服务体系运维、电子政务网络光纤租赁、电子政务平台运维、电子政务外网数据交换服务和链路租赁项目按合同约定仅支付部分费用，预算</w:t>
      </w:r>
      <w:r>
        <w:rPr>
          <w:rFonts w:hint="eastAsia" w:ascii="宋体" w:hAnsi="宋体" w:cs="方正仿宋_GBK"/>
          <w:color w:val="auto"/>
          <w:sz w:val="32"/>
          <w:lang w:val="en-US" w:eastAsia="zh-CN"/>
        </w:rPr>
        <w:t>数</w:t>
      </w:r>
      <w:r>
        <w:rPr>
          <w:rFonts w:hint="eastAsia" w:ascii="宋体" w:hAnsi="宋体" w:eastAsia="方正仿宋_GBK" w:cs="方正仿宋_GBK"/>
          <w:color w:val="auto"/>
          <w:sz w:val="32"/>
          <w:lang w:val="en-US" w:eastAsia="zh-CN"/>
        </w:rPr>
        <w:t>按照合同金额下达。</w:t>
      </w:r>
    </w:p>
    <w:p w14:paraId="6963EC41">
      <w:pPr>
        <w:pStyle w:val="5"/>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79" w:lineRule="exact"/>
        <w:ind w:right="0" w:rightChars="0" w:firstLine="632" w:firstLineChars="200"/>
        <w:jc w:val="both"/>
        <w:textAlignment w:val="auto"/>
        <w:rPr>
          <w:rFonts w:hint="eastAsia" w:ascii="宋体" w:hAnsi="宋体" w:eastAsia="方正仿宋_GBK" w:cs="方正仿宋_GBK"/>
          <w:color w:val="auto"/>
          <w:sz w:val="32"/>
          <w:lang w:val="en-US" w:eastAsia="zh-CN"/>
        </w:rPr>
      </w:pPr>
      <w:r>
        <w:rPr>
          <w:rFonts w:hint="eastAsia" w:ascii="宋体" w:hAnsi="宋体" w:eastAsia="方正仿宋_GBK" w:cs="方正仿宋_GBK"/>
          <w:color w:val="auto"/>
          <w:sz w:val="32"/>
          <w:lang w:val="en-US" w:eastAsia="zh-CN"/>
        </w:rPr>
        <w:t>（2）教育支出0.91万元，占比0.03%。较年初预算数减少4.85万元，下降84.20%，主要原因是2024年在市内开展培训活动，仅支付租车费、用餐费等费用，培训次数较少。</w:t>
      </w:r>
    </w:p>
    <w:p w14:paraId="34891216">
      <w:pPr>
        <w:pStyle w:val="5"/>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79" w:lineRule="exact"/>
        <w:ind w:right="0" w:rightChars="0" w:firstLine="632" w:firstLineChars="200"/>
        <w:jc w:val="both"/>
        <w:textAlignment w:val="auto"/>
        <w:rPr>
          <w:rFonts w:hint="eastAsia" w:ascii="宋体" w:hAnsi="宋体" w:eastAsia="方正仿宋_GBK" w:cs="方正仿宋_GBK"/>
          <w:color w:val="auto"/>
          <w:sz w:val="32"/>
          <w:lang w:val="en-US" w:eastAsia="zh-CN"/>
        </w:rPr>
      </w:pPr>
      <w:r>
        <w:rPr>
          <w:rFonts w:hint="eastAsia" w:ascii="宋体" w:hAnsi="宋体" w:eastAsia="方正仿宋_GBK" w:cs="方正仿宋_GBK"/>
          <w:color w:val="auto"/>
          <w:sz w:val="32"/>
          <w:lang w:val="en-US" w:eastAsia="zh-CN"/>
        </w:rPr>
        <w:t>（3）社会保障和就业支出140.74万元，占4.65%，较年初预算数增加6.41万元，增长4.77%，主要原因是事业人员养老保险基数提高，相应增加费用。</w:t>
      </w:r>
    </w:p>
    <w:p w14:paraId="3531788D">
      <w:pPr>
        <w:pStyle w:val="5"/>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79" w:lineRule="exact"/>
        <w:ind w:right="0" w:rightChars="0" w:firstLine="632" w:firstLineChars="200"/>
        <w:jc w:val="both"/>
        <w:textAlignment w:val="auto"/>
        <w:rPr>
          <w:rFonts w:hint="eastAsia" w:ascii="宋体" w:hAnsi="宋体" w:eastAsia="方正仿宋_GBK" w:cs="方正仿宋_GBK"/>
          <w:color w:val="auto"/>
          <w:sz w:val="32"/>
          <w:lang w:val="en-US" w:eastAsia="zh-CN"/>
        </w:rPr>
      </w:pPr>
      <w:r>
        <w:rPr>
          <w:rFonts w:hint="eastAsia" w:ascii="宋体" w:hAnsi="宋体" w:eastAsia="方正仿宋_GBK" w:cs="方正仿宋_GBK"/>
          <w:color w:val="auto"/>
          <w:sz w:val="32"/>
          <w:lang w:val="en-US" w:eastAsia="zh-CN"/>
        </w:rPr>
        <w:t>（4）卫生健康支出68.85万元，占2.27%，较年初预算数减少1.65万元，下降0.57%，主要原因是下属单位行政服务中心2024年调出2人，相应减少医疗保险缴费。</w:t>
      </w:r>
    </w:p>
    <w:p w14:paraId="17333022">
      <w:pPr>
        <w:pStyle w:val="5"/>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79" w:lineRule="exact"/>
        <w:ind w:right="0" w:rightChars="0" w:firstLine="632" w:firstLineChars="200"/>
        <w:jc w:val="both"/>
        <w:textAlignment w:val="auto"/>
        <w:rPr>
          <w:rFonts w:hint="eastAsia" w:ascii="宋体" w:hAnsi="宋体" w:eastAsia="方正仿宋_GBK" w:cs="方正仿宋_GBK"/>
          <w:color w:val="auto"/>
          <w:sz w:val="32"/>
          <w:lang w:val="en-US" w:eastAsia="zh-CN"/>
        </w:rPr>
      </w:pPr>
      <w:r>
        <w:rPr>
          <w:rFonts w:hint="eastAsia" w:ascii="宋体" w:hAnsi="宋体" w:eastAsia="方正仿宋_GBK" w:cs="方正仿宋_GBK"/>
          <w:color w:val="auto"/>
          <w:sz w:val="32"/>
          <w:lang w:val="en-US" w:eastAsia="zh-CN"/>
        </w:rPr>
        <w:t>（5）住房保障支出74.55万元，占2.46%，较年初预算数减少0.01万元，下降0.01%，主要原因是2024年调出2人减少公积金支出，且公积金基数调整增加公积金支出，相抵消公积金较预算有所减少。</w:t>
      </w:r>
    </w:p>
    <w:p w14:paraId="5B66E22E">
      <w:pPr>
        <w:keepNext w:val="0"/>
        <w:keepLines w:val="0"/>
        <w:pageBreakBefore w:val="0"/>
        <w:widowControl w:val="0"/>
        <w:numPr>
          <w:ilvl w:val="0"/>
          <w:numId w:val="3"/>
        </w:numPr>
        <w:kinsoku/>
        <w:wordWrap/>
        <w:overflowPunct/>
        <w:topLinePunct w:val="0"/>
        <w:autoSpaceDE/>
        <w:autoSpaceDN/>
        <w:bidi w:val="0"/>
        <w:adjustRightInd/>
        <w:snapToGrid/>
        <w:spacing w:line="579" w:lineRule="exact"/>
        <w:ind w:firstLine="632" w:firstLineChars="200"/>
        <w:textAlignment w:val="auto"/>
        <w:outlineLvl w:val="1"/>
        <w:rPr>
          <w:rFonts w:hint="eastAsia" w:ascii="宋体" w:hAnsi="宋体" w:eastAsia="方正楷体_GBK" w:cs="方正楷体_GBK"/>
          <w:sz w:val="32"/>
          <w:szCs w:val="32"/>
          <w:lang w:val="en-US" w:eastAsia="zh-CN"/>
        </w:rPr>
      </w:pPr>
      <w:r>
        <w:rPr>
          <w:rStyle w:val="14"/>
          <w:rFonts w:hint="eastAsia" w:ascii="宋体" w:hAnsi="宋体" w:eastAsia="方正楷体_GBK" w:cs="方正楷体_GBK"/>
          <w:b w:val="0"/>
          <w:bCs/>
          <w:kern w:val="2"/>
          <w:sz w:val="32"/>
          <w:szCs w:val="32"/>
          <w:shd w:val="clear" w:color="auto" w:fill="FFFFFF"/>
          <w:lang w:val="en-US" w:eastAsia="zh-CN" w:bidi="ar-SA"/>
        </w:rPr>
        <w:t>一般公共预算财政拨款基本支出情况</w:t>
      </w:r>
    </w:p>
    <w:p w14:paraId="7C13CD29">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9" w:lineRule="exact"/>
        <w:ind w:left="0" w:firstLine="632" w:firstLineChars="200"/>
        <w:jc w:val="both"/>
        <w:textAlignment w:val="auto"/>
        <w:rPr>
          <w:rFonts w:hint="eastAsia" w:ascii="宋体" w:hAnsi="宋体" w:eastAsia="方正仿宋_GBK" w:cs="方正仿宋_GBK"/>
          <w:color w:val="auto"/>
          <w:sz w:val="32"/>
          <w:lang w:val="en-US" w:eastAsia="zh-CN"/>
        </w:rPr>
      </w:pPr>
      <w:r>
        <w:rPr>
          <w:rFonts w:hint="eastAsia" w:ascii="宋体" w:hAnsi="宋体" w:eastAsia="方正仿宋_GBK" w:cs="方正仿宋_GBK"/>
          <w:color w:val="auto"/>
          <w:sz w:val="32"/>
          <w:lang w:val="en-US" w:eastAsia="zh-CN"/>
        </w:rPr>
        <w:t>2024年度一般公共预算财政拨款基本支出1194.07万元。其中：人员经费1002.17万元，主要用于基本工资、津贴补贴、奖金、绩效工资、机关事业单位基本养老保险缴费、职业年金缴费、社会保障缴费、住房公积金等，较上年决算数增加11.52万元，增长1.16%，主要原因是人员工资提高，且事业人员养老保险缴费基数提高，相应增加单位缴费。公用经费191.90万元，主要用于办公费、印刷费、水费、电费、邮电费、差旅费、维修（护）费、会议费、培训费、公务接待费、劳务费、委托业务费、工会经费、福利费、公务用车维护费、其他交通费用、其他商品和服务支出、办公设备购置等，较上年决算数增加0.68万元，增长0.36%，主要原因是公用经费弥补人员经费减少，较2023年公用经费增加。</w:t>
      </w:r>
    </w:p>
    <w:p w14:paraId="5DB89D73">
      <w:pPr>
        <w:keepNext w:val="0"/>
        <w:keepLines w:val="0"/>
        <w:pageBreakBefore w:val="0"/>
        <w:widowControl/>
        <w:suppressLineNumbers w:val="0"/>
        <w:kinsoku/>
        <w:wordWrap/>
        <w:overflowPunct/>
        <w:topLinePunct w:val="0"/>
        <w:autoSpaceDE w:val="0"/>
        <w:autoSpaceDN/>
        <w:bidi w:val="0"/>
        <w:adjustRightInd/>
        <w:snapToGrid/>
        <w:spacing w:afterAutospacing="0" w:line="579" w:lineRule="exact"/>
        <w:ind w:left="0" w:firstLine="632" w:firstLineChars="200"/>
        <w:jc w:val="both"/>
        <w:textAlignment w:val="auto"/>
        <w:outlineLvl w:val="1"/>
        <w:rPr>
          <w:rStyle w:val="14"/>
          <w:rFonts w:hint="eastAsia" w:ascii="宋体" w:hAnsi="宋体" w:eastAsia="方正楷体_GBK" w:cs="方正楷体_GBK"/>
          <w:b w:val="0"/>
          <w:bCs/>
          <w:kern w:val="2"/>
          <w:sz w:val="32"/>
          <w:szCs w:val="32"/>
          <w:shd w:val="clear" w:color="auto" w:fill="FFFFFF"/>
          <w:lang w:val="en-US" w:eastAsia="zh-CN" w:bidi="ar-SA"/>
        </w:rPr>
      </w:pPr>
      <w:r>
        <w:rPr>
          <w:rStyle w:val="14"/>
          <w:rFonts w:hint="eastAsia" w:ascii="宋体" w:hAnsi="宋体" w:eastAsia="方正楷体_GBK" w:cs="方正楷体_GBK"/>
          <w:b w:val="0"/>
          <w:bCs/>
          <w:kern w:val="2"/>
          <w:sz w:val="32"/>
          <w:szCs w:val="32"/>
          <w:shd w:val="clear" w:color="auto" w:fill="FFFFFF"/>
          <w:lang w:val="en-US" w:eastAsia="zh-CN" w:bidi="ar-SA"/>
        </w:rPr>
        <w:t>（五）政府性基金预算收支决算情况</w:t>
      </w:r>
    </w:p>
    <w:p w14:paraId="3084BAE4">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9" w:lineRule="exact"/>
        <w:ind w:left="0" w:firstLine="632" w:firstLineChars="200"/>
        <w:jc w:val="both"/>
        <w:textAlignment w:val="auto"/>
        <w:rPr>
          <w:rFonts w:hint="eastAsia" w:ascii="方正仿宋_GBK" w:hAnsi="方正仿宋_GBK" w:eastAsia="方正仿宋_GBK" w:cs="方正仿宋_GBK"/>
          <w:color w:val="auto"/>
          <w:sz w:val="32"/>
          <w:szCs w:val="32"/>
          <w:shd w:val="clear" w:color="auto" w:fill="FFFFFF"/>
          <w:lang w:eastAsia="zh-CN"/>
        </w:rPr>
      </w:pPr>
      <w:r>
        <w:rPr>
          <w:rFonts w:ascii="方正仿宋_GBK" w:hAnsi="方正仿宋_GBK" w:eastAsia="方正仿宋_GBK" w:cs="方正仿宋_GBK"/>
          <w:color w:val="auto"/>
          <w:sz w:val="32"/>
          <w:szCs w:val="32"/>
          <w:shd w:val="clear" w:color="auto" w:fill="FFFFFF"/>
        </w:rPr>
        <w:t>本</w:t>
      </w:r>
      <w:r>
        <w:rPr>
          <w:rFonts w:hint="eastAsia" w:ascii="方正仿宋_GBK" w:hAnsi="方正仿宋_GBK" w:eastAsia="方正仿宋_GBK" w:cs="方正仿宋_GBK"/>
          <w:color w:val="auto"/>
          <w:sz w:val="32"/>
          <w:szCs w:val="32"/>
          <w:shd w:val="clear" w:color="auto" w:fill="FFFFFF"/>
          <w:lang w:val="en-US" w:eastAsia="zh-CN"/>
        </w:rPr>
        <w:t>部门</w:t>
      </w:r>
      <w:r>
        <w:rPr>
          <w:rFonts w:hint="eastAsia" w:ascii="方正仿宋_GBK" w:hAnsi="方正仿宋_GBK" w:eastAsia="方正仿宋_GBK" w:cs="方正仿宋_GBK"/>
          <w:color w:val="auto"/>
          <w:sz w:val="32"/>
          <w:szCs w:val="32"/>
          <w:shd w:val="clear" w:color="auto" w:fill="FFFFFF"/>
          <w:lang w:eastAsia="zh-CN"/>
        </w:rPr>
        <w:t>2024年</w:t>
      </w:r>
      <w:r>
        <w:rPr>
          <w:rFonts w:ascii="方正仿宋_GBK" w:hAnsi="方正仿宋_GBK" w:eastAsia="方正仿宋_GBK" w:cs="方正仿宋_GBK"/>
          <w:color w:val="auto"/>
          <w:sz w:val="32"/>
          <w:szCs w:val="32"/>
          <w:shd w:val="clear" w:color="auto" w:fill="FFFFFF"/>
        </w:rPr>
        <w:t>度无政府性基金预算财政拨款收支</w:t>
      </w:r>
      <w:r>
        <w:rPr>
          <w:rFonts w:hint="eastAsia" w:ascii="方正仿宋_GBK" w:hAnsi="方正仿宋_GBK" w:eastAsia="方正仿宋_GBK" w:cs="方正仿宋_GBK"/>
          <w:color w:val="auto"/>
          <w:sz w:val="32"/>
          <w:szCs w:val="32"/>
          <w:shd w:val="clear" w:color="auto" w:fill="FFFFFF"/>
          <w:lang w:eastAsia="zh-CN"/>
        </w:rPr>
        <w:t>。</w:t>
      </w:r>
    </w:p>
    <w:p w14:paraId="5B2D2A51">
      <w:pPr>
        <w:keepNext w:val="0"/>
        <w:keepLines w:val="0"/>
        <w:pageBreakBefore w:val="0"/>
        <w:widowControl/>
        <w:suppressLineNumbers w:val="0"/>
        <w:kinsoku/>
        <w:wordWrap/>
        <w:overflowPunct/>
        <w:topLinePunct w:val="0"/>
        <w:autoSpaceDE w:val="0"/>
        <w:autoSpaceDN/>
        <w:bidi w:val="0"/>
        <w:adjustRightInd/>
        <w:snapToGrid/>
        <w:spacing w:afterAutospacing="0" w:line="579" w:lineRule="exact"/>
        <w:ind w:left="0" w:firstLine="632" w:firstLineChars="200"/>
        <w:jc w:val="both"/>
        <w:textAlignment w:val="auto"/>
        <w:outlineLvl w:val="1"/>
        <w:rPr>
          <w:rStyle w:val="14"/>
          <w:rFonts w:hint="eastAsia" w:ascii="宋体" w:hAnsi="宋体" w:eastAsia="方正楷体_GBK" w:cs="方正楷体_GBK"/>
          <w:b w:val="0"/>
          <w:bCs/>
          <w:kern w:val="2"/>
          <w:sz w:val="32"/>
          <w:szCs w:val="32"/>
          <w:shd w:val="clear" w:color="auto" w:fill="FFFFFF"/>
          <w:lang w:val="en-US" w:eastAsia="zh-CN" w:bidi="ar-SA"/>
        </w:rPr>
      </w:pPr>
      <w:r>
        <w:rPr>
          <w:rStyle w:val="14"/>
          <w:rFonts w:hint="eastAsia" w:ascii="宋体" w:hAnsi="宋体" w:eastAsia="方正楷体_GBK" w:cs="方正楷体_GBK"/>
          <w:b w:val="0"/>
          <w:bCs/>
          <w:kern w:val="2"/>
          <w:sz w:val="32"/>
          <w:szCs w:val="32"/>
          <w:shd w:val="clear" w:color="auto" w:fill="FFFFFF"/>
          <w:lang w:val="en-US" w:eastAsia="zh-CN" w:bidi="ar-SA"/>
        </w:rPr>
        <w:t>（六）国有资本经营预算财政拨款支出决算情况</w:t>
      </w:r>
    </w:p>
    <w:p w14:paraId="5FF2898D">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9" w:lineRule="exact"/>
        <w:ind w:left="0" w:firstLine="632" w:firstLineChars="200"/>
        <w:jc w:val="both"/>
        <w:textAlignment w:val="auto"/>
        <w:rPr>
          <w:rFonts w:hint="eastAsia" w:ascii="宋体" w:hAnsi="宋体" w:eastAsia="方正仿宋_GBK" w:cs="方正仿宋_GBK"/>
          <w:color w:val="auto"/>
          <w:sz w:val="32"/>
          <w:lang w:val="en-US" w:eastAsia="zh-CN"/>
        </w:rPr>
      </w:pPr>
      <w:r>
        <w:rPr>
          <w:rFonts w:ascii="方正仿宋_GBK" w:hAnsi="方正仿宋_GBK" w:eastAsia="方正仿宋_GBK" w:cs="方正仿宋_GBK"/>
          <w:color w:val="auto"/>
          <w:sz w:val="32"/>
          <w:szCs w:val="32"/>
          <w:shd w:val="clear" w:color="auto" w:fill="FFFFFF"/>
        </w:rPr>
        <w:t>本</w:t>
      </w:r>
      <w:r>
        <w:rPr>
          <w:rFonts w:hint="eastAsia" w:ascii="方正仿宋_GBK" w:hAnsi="方正仿宋_GBK" w:eastAsia="方正仿宋_GBK" w:cs="方正仿宋_GBK"/>
          <w:color w:val="auto"/>
          <w:sz w:val="32"/>
          <w:szCs w:val="32"/>
          <w:shd w:val="clear" w:color="auto" w:fill="FFFFFF"/>
          <w:lang w:val="en-US" w:eastAsia="zh-CN"/>
        </w:rPr>
        <w:t>部门</w:t>
      </w:r>
      <w:r>
        <w:rPr>
          <w:rFonts w:hint="eastAsia" w:ascii="方正仿宋_GBK" w:hAnsi="方正仿宋_GBK" w:eastAsia="方正仿宋_GBK" w:cs="方正仿宋_GBK"/>
          <w:color w:val="auto"/>
          <w:sz w:val="32"/>
          <w:szCs w:val="32"/>
          <w:shd w:val="clear" w:color="auto" w:fill="FFFFFF"/>
          <w:lang w:eastAsia="zh-CN"/>
        </w:rPr>
        <w:t>2024年</w:t>
      </w:r>
      <w:r>
        <w:rPr>
          <w:rFonts w:ascii="方正仿宋_GBK" w:hAnsi="方正仿宋_GBK" w:eastAsia="方正仿宋_GBK" w:cs="方正仿宋_GBK"/>
          <w:color w:val="auto"/>
          <w:sz w:val="32"/>
          <w:szCs w:val="32"/>
          <w:shd w:val="clear" w:color="auto" w:fill="FFFFFF"/>
        </w:rPr>
        <w:t>度无国有资本经营预算财政拨款支出。</w:t>
      </w:r>
    </w:p>
    <w:p w14:paraId="2A18FD0A">
      <w:pPr>
        <w:pStyle w:val="10"/>
        <w:keepNext w:val="0"/>
        <w:keepLines w:val="0"/>
        <w:pageBreakBefore w:val="0"/>
        <w:widowControl/>
        <w:numPr>
          <w:ilvl w:val="0"/>
          <w:numId w:val="0"/>
        </w:numPr>
        <w:suppressLineNumbers w:val="0"/>
        <w:kinsoku/>
        <w:wordWrap/>
        <w:overflowPunct/>
        <w:topLinePunct w:val="0"/>
        <w:autoSpaceDE w:val="0"/>
        <w:autoSpaceDN/>
        <w:bidi w:val="0"/>
        <w:adjustRightInd/>
        <w:snapToGrid/>
        <w:spacing w:before="0" w:beforeAutospacing="0" w:after="0" w:afterAutospacing="0" w:line="579" w:lineRule="exact"/>
        <w:ind w:right="0" w:rightChars="0" w:firstLine="632" w:firstLineChars="200"/>
        <w:jc w:val="left"/>
        <w:textAlignment w:val="auto"/>
        <w:outlineLvl w:val="0"/>
        <w:rPr>
          <w:rStyle w:val="14"/>
          <w:rFonts w:hint="eastAsia" w:ascii="宋体" w:hAnsi="宋体" w:eastAsia="方正黑体_GBK" w:cs="方正黑体_GBK"/>
          <w:b w:val="0"/>
          <w:sz w:val="32"/>
          <w:szCs w:val="32"/>
          <w:shd w:val="clear" w:color="auto" w:fill="FFFFFF"/>
        </w:rPr>
      </w:pPr>
      <w:r>
        <w:rPr>
          <w:rStyle w:val="14"/>
          <w:rFonts w:hint="eastAsia" w:ascii="宋体" w:hAnsi="宋体" w:eastAsia="方正黑体_GBK" w:cs="方正黑体_GBK"/>
          <w:b w:val="0"/>
          <w:sz w:val="32"/>
          <w:szCs w:val="32"/>
          <w:shd w:val="clear" w:color="auto" w:fill="FFFFFF"/>
          <w:lang w:val="en-US" w:eastAsia="zh-CN"/>
        </w:rPr>
        <w:t>三、</w:t>
      </w:r>
      <w:r>
        <w:rPr>
          <w:rStyle w:val="14"/>
          <w:rFonts w:hint="eastAsia" w:ascii="宋体" w:hAnsi="宋体" w:eastAsia="方正黑体_GBK" w:cs="方正黑体_GBK"/>
          <w:b w:val="0"/>
          <w:sz w:val="32"/>
          <w:szCs w:val="32"/>
          <w:shd w:val="clear" w:color="auto" w:fill="FFFFFF"/>
        </w:rPr>
        <w:t>“三公”经费情况</w:t>
      </w:r>
    </w:p>
    <w:p w14:paraId="62A87D4D">
      <w:pPr>
        <w:keepNext w:val="0"/>
        <w:keepLines w:val="0"/>
        <w:pageBreakBefore w:val="0"/>
        <w:widowControl/>
        <w:suppressLineNumbers w:val="0"/>
        <w:kinsoku/>
        <w:wordWrap/>
        <w:overflowPunct/>
        <w:topLinePunct w:val="0"/>
        <w:autoSpaceDE w:val="0"/>
        <w:autoSpaceDN/>
        <w:bidi w:val="0"/>
        <w:adjustRightInd/>
        <w:snapToGrid/>
        <w:spacing w:afterAutospacing="0" w:line="579" w:lineRule="exact"/>
        <w:ind w:left="0" w:firstLine="632" w:firstLineChars="200"/>
        <w:jc w:val="both"/>
        <w:textAlignment w:val="auto"/>
        <w:outlineLvl w:val="1"/>
        <w:rPr>
          <w:rStyle w:val="14"/>
          <w:rFonts w:hint="eastAsia" w:ascii="宋体" w:hAnsi="宋体" w:eastAsia="方正楷体_GBK" w:cs="方正楷体_GBK"/>
          <w:b w:val="0"/>
          <w:bCs/>
          <w:kern w:val="2"/>
          <w:sz w:val="32"/>
          <w:szCs w:val="32"/>
          <w:shd w:val="clear" w:color="auto" w:fill="FFFFFF"/>
          <w:lang w:val="en-US" w:eastAsia="zh-CN" w:bidi="ar-SA"/>
        </w:rPr>
      </w:pPr>
      <w:r>
        <w:rPr>
          <w:rStyle w:val="14"/>
          <w:rFonts w:hint="eastAsia" w:ascii="宋体" w:hAnsi="宋体" w:eastAsia="方正楷体_GBK" w:cs="方正楷体_GBK"/>
          <w:b w:val="0"/>
          <w:bCs/>
          <w:kern w:val="2"/>
          <w:sz w:val="32"/>
          <w:szCs w:val="32"/>
          <w:shd w:val="clear" w:color="auto" w:fill="FFFFFF"/>
          <w:lang w:val="en-US" w:eastAsia="zh-CN" w:bidi="ar-SA"/>
        </w:rPr>
        <w:t>（一）“三公”经费支出总体情况</w:t>
      </w:r>
    </w:p>
    <w:p w14:paraId="0994B576">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9" w:lineRule="exact"/>
        <w:ind w:left="0" w:firstLine="632" w:firstLineChars="200"/>
        <w:jc w:val="both"/>
        <w:textAlignment w:val="auto"/>
        <w:rPr>
          <w:rFonts w:hint="eastAsia" w:ascii="宋体" w:hAnsi="宋体" w:eastAsia="方正仿宋_GBK" w:cs="方正仿宋_GBK"/>
          <w:color w:val="auto"/>
          <w:sz w:val="32"/>
          <w:lang w:val="en-US" w:eastAsia="zh-CN"/>
        </w:rPr>
      </w:pPr>
      <w:r>
        <w:rPr>
          <w:rFonts w:hint="eastAsia" w:ascii="宋体" w:hAnsi="宋体" w:eastAsia="方正仿宋_GBK" w:cs="方正仿宋_GBK"/>
          <w:color w:val="auto"/>
          <w:sz w:val="32"/>
          <w:lang w:val="en-US" w:eastAsia="zh-CN"/>
        </w:rPr>
        <w:t>2024年度“三公”经费支出共计2.82万元，较年初预算数减少1.18万元，下降29.50%，主要原因一是认真贯彻落实中央八项规定精神，按照只减不增的要求从严控制“三公”经费，全年实际支出较预算有所下降。二是严格落实公车使用规定，严禁公车私用，减少公务用车外出数量，公车运行维护成本下降。较上年支出数减少0.04万元，减少0.40%，主要原因是2024年较2023年增加接待批次及接待人次，相应增加接待费用0.31万元；公务用车维修费及高速过路费较2023年减少0.35万元，合计共减少0.04万元。</w:t>
      </w:r>
    </w:p>
    <w:p w14:paraId="62B7E8E4">
      <w:pPr>
        <w:keepNext w:val="0"/>
        <w:keepLines w:val="0"/>
        <w:pageBreakBefore w:val="0"/>
        <w:widowControl/>
        <w:suppressLineNumbers w:val="0"/>
        <w:kinsoku/>
        <w:wordWrap/>
        <w:overflowPunct/>
        <w:topLinePunct w:val="0"/>
        <w:autoSpaceDE w:val="0"/>
        <w:autoSpaceDN/>
        <w:bidi w:val="0"/>
        <w:adjustRightInd/>
        <w:snapToGrid/>
        <w:spacing w:afterAutospacing="0" w:line="579" w:lineRule="exact"/>
        <w:ind w:left="0" w:firstLine="632" w:firstLineChars="200"/>
        <w:jc w:val="both"/>
        <w:textAlignment w:val="auto"/>
        <w:outlineLvl w:val="1"/>
        <w:rPr>
          <w:rStyle w:val="14"/>
          <w:rFonts w:hint="eastAsia" w:ascii="宋体" w:hAnsi="宋体" w:eastAsia="方正楷体_GBK" w:cs="方正楷体_GBK"/>
          <w:b w:val="0"/>
          <w:bCs/>
          <w:kern w:val="2"/>
          <w:sz w:val="32"/>
          <w:szCs w:val="32"/>
          <w:shd w:val="clear" w:color="auto" w:fill="FFFFFF"/>
          <w:lang w:val="en-US" w:eastAsia="zh-CN" w:bidi="ar-SA"/>
        </w:rPr>
      </w:pPr>
      <w:r>
        <w:rPr>
          <w:rStyle w:val="14"/>
          <w:rFonts w:hint="eastAsia" w:ascii="宋体" w:hAnsi="宋体" w:eastAsia="方正楷体_GBK" w:cs="方正楷体_GBK"/>
          <w:b w:val="0"/>
          <w:bCs/>
          <w:kern w:val="2"/>
          <w:sz w:val="32"/>
          <w:szCs w:val="32"/>
          <w:shd w:val="clear" w:color="auto" w:fill="FFFFFF"/>
          <w:lang w:val="en-US" w:eastAsia="zh-CN" w:bidi="ar-SA"/>
        </w:rPr>
        <w:t>（二）“三公”经费分项支出情况</w:t>
      </w:r>
    </w:p>
    <w:p w14:paraId="2CEF0283">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9" w:lineRule="exact"/>
        <w:ind w:left="0" w:firstLine="632" w:firstLineChars="200"/>
        <w:jc w:val="both"/>
        <w:textAlignment w:val="auto"/>
        <w:rPr>
          <w:rFonts w:hint="eastAsia" w:ascii="宋体" w:hAnsi="宋体" w:eastAsia="方正仿宋_GBK" w:cs="方正仿宋_GBK"/>
          <w:color w:val="auto"/>
          <w:sz w:val="32"/>
          <w:lang w:val="en-US" w:eastAsia="zh-CN"/>
        </w:rPr>
      </w:pPr>
      <w:r>
        <w:rPr>
          <w:rFonts w:hint="eastAsia" w:ascii="宋体" w:hAnsi="宋体" w:eastAsia="方正仿宋_GBK" w:cs="方正仿宋_GBK"/>
          <w:color w:val="auto"/>
          <w:sz w:val="32"/>
          <w:lang w:val="en-US" w:eastAsia="zh-CN"/>
        </w:rPr>
        <w:t>因公出国（境）费用0万元。费用支出与年初预算数持平；与上年支出数持平，主要原因是无因公出国（境）计划。</w:t>
      </w:r>
    </w:p>
    <w:p w14:paraId="331DACBB">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9" w:lineRule="exact"/>
        <w:ind w:left="0" w:firstLine="632" w:firstLineChars="200"/>
        <w:jc w:val="both"/>
        <w:textAlignment w:val="auto"/>
        <w:rPr>
          <w:rFonts w:hint="eastAsia" w:ascii="宋体" w:hAnsi="宋体" w:eastAsia="方正仿宋_GBK" w:cs="方正仿宋_GBK"/>
          <w:color w:val="auto"/>
          <w:sz w:val="32"/>
          <w:lang w:val="en-US" w:eastAsia="zh-CN"/>
        </w:rPr>
      </w:pPr>
      <w:r>
        <w:rPr>
          <w:rFonts w:hint="eastAsia" w:ascii="宋体" w:hAnsi="宋体" w:eastAsia="方正仿宋_GBK" w:cs="方正仿宋_GBK"/>
          <w:color w:val="auto"/>
          <w:sz w:val="32"/>
          <w:lang w:val="en-US" w:eastAsia="zh-CN"/>
        </w:rPr>
        <w:t>公务车购置费用0万元。费用支出与年初预算数持平；与上年支出数持平，主要原因是无公务车购置计划。</w:t>
      </w:r>
    </w:p>
    <w:p w14:paraId="33A87B77">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9" w:lineRule="exact"/>
        <w:ind w:left="0" w:firstLine="632" w:firstLineChars="200"/>
        <w:jc w:val="both"/>
        <w:textAlignment w:val="auto"/>
        <w:rPr>
          <w:rFonts w:hint="eastAsia" w:ascii="宋体" w:hAnsi="宋体" w:eastAsia="方正仿宋_GBK" w:cs="方正仿宋_GBK"/>
          <w:color w:val="auto"/>
          <w:sz w:val="32"/>
          <w:lang w:val="en-US" w:eastAsia="zh-CN"/>
        </w:rPr>
      </w:pPr>
      <w:r>
        <w:rPr>
          <w:rFonts w:hint="eastAsia" w:ascii="宋体" w:hAnsi="宋体" w:eastAsia="方正仿宋_GBK" w:cs="方正仿宋_GBK"/>
          <w:color w:val="auto"/>
          <w:sz w:val="32"/>
          <w:lang w:val="en-US" w:eastAsia="zh-CN"/>
        </w:rPr>
        <w:t>公务车运行维护费2.07万元，主要用于机要文件交换、市内因公出行、业务检查等工作所需车辆的加油费、停车费、维修费、过桥过路费、保险费等。费用支出较年初预算数减少0.93万元，下降31%，主要原因是严格落实公车使用规定，严禁公车私用，减少公务用车外出数量，公车运行维护成本下降，较上年支出数减少0.35万元，下降14.46%，主要原因是公务用车维修费及高速过路费较2023年减少。</w:t>
      </w:r>
    </w:p>
    <w:p w14:paraId="63440914">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9" w:lineRule="exact"/>
        <w:ind w:left="0" w:firstLine="632" w:firstLineChars="200"/>
        <w:jc w:val="both"/>
        <w:textAlignment w:val="auto"/>
        <w:rPr>
          <w:rFonts w:hint="eastAsia" w:ascii="宋体" w:hAnsi="宋体" w:eastAsia="方正仿宋_GBK" w:cs="方正仿宋_GBK"/>
          <w:color w:val="auto"/>
          <w:sz w:val="32"/>
          <w:lang w:val="en-US" w:eastAsia="zh-CN"/>
        </w:rPr>
      </w:pPr>
      <w:r>
        <w:rPr>
          <w:rFonts w:hint="eastAsia" w:ascii="宋体" w:hAnsi="宋体" w:eastAsia="方正仿宋_GBK" w:cs="方正仿宋_GBK"/>
          <w:color w:val="auto"/>
          <w:sz w:val="32"/>
          <w:lang w:val="en-US" w:eastAsia="zh-CN"/>
        </w:rPr>
        <w:t>公务接待费0.75万元，主要用于接待重庆各区县到我单位考察学习工作发生的接待支出。费用支出较年初预算数减少0.25万元，下降25%，主要原因是强化公务接待支出管理，严格遵守公务接待开支范围和开支标准，严格控制陪餐人数，对应由接待对象承担的费用一律由接待对象自行支付，较上年支出数增加0.31万元，增长70.45%，主要原因是2024年较2023年增加接待批次及接待人次，相应增加接待费用。</w:t>
      </w:r>
    </w:p>
    <w:p w14:paraId="22A2FA39">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9" w:lineRule="exact"/>
        <w:ind w:left="0" w:firstLine="632" w:firstLineChars="200"/>
        <w:jc w:val="both"/>
        <w:textAlignment w:val="auto"/>
        <w:outlineLvl w:val="1"/>
        <w:rPr>
          <w:rFonts w:hint="eastAsia" w:ascii="宋体" w:hAnsi="宋体" w:eastAsia="方正楷体_GBK" w:cs="方正楷体_GBK"/>
        </w:rPr>
      </w:pPr>
      <w:r>
        <w:rPr>
          <w:rStyle w:val="14"/>
          <w:rFonts w:hint="eastAsia" w:ascii="宋体" w:hAnsi="宋体" w:eastAsia="方正楷体_GBK" w:cs="方正楷体_GBK"/>
          <w:b w:val="0"/>
          <w:bCs/>
          <w:kern w:val="2"/>
          <w:sz w:val="32"/>
          <w:szCs w:val="32"/>
          <w:shd w:val="clear" w:color="auto" w:fill="FFFFFF"/>
          <w:lang w:val="en-US" w:eastAsia="zh-CN" w:bidi="ar-SA"/>
        </w:rPr>
        <w:t>（三）“三公”经费实物量情况</w:t>
      </w:r>
    </w:p>
    <w:p w14:paraId="139E0710">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9" w:lineRule="exact"/>
        <w:ind w:left="0" w:firstLine="632" w:firstLineChars="200"/>
        <w:jc w:val="both"/>
        <w:textAlignment w:val="auto"/>
        <w:rPr>
          <w:rFonts w:hint="eastAsia" w:ascii="宋体" w:hAnsi="宋体" w:eastAsia="方正仿宋_GBK" w:cs="方正仿宋_GBK"/>
          <w:color w:val="auto"/>
          <w:sz w:val="32"/>
          <w:lang w:val="en-US" w:eastAsia="zh-CN"/>
        </w:rPr>
      </w:pPr>
      <w:r>
        <w:rPr>
          <w:rFonts w:hint="eastAsia" w:ascii="宋体" w:hAnsi="宋体" w:eastAsia="方正仿宋_GBK" w:cs="方正仿宋_GBK"/>
          <w:color w:val="auto"/>
          <w:sz w:val="32"/>
          <w:lang w:val="en-US" w:eastAsia="zh-CN"/>
        </w:rPr>
        <w:t>2024年度本部门因公出国（境）共计0个团组，0人；公务用车购置0辆，公务车保有量为1辆；国内公务接待5批次77人，其中：国内外事接待0批次，0人；国（境）外公务接待0批次，0人。人均接待费96.87元，车均购置费0万元，车均维护费2.07万元。</w:t>
      </w:r>
    </w:p>
    <w:p w14:paraId="32CEE6A2">
      <w:pPr>
        <w:pStyle w:val="10"/>
        <w:keepNext w:val="0"/>
        <w:keepLines w:val="0"/>
        <w:pageBreakBefore w:val="0"/>
        <w:widowControl/>
        <w:numPr>
          <w:ilvl w:val="0"/>
          <w:numId w:val="0"/>
        </w:numPr>
        <w:suppressLineNumbers w:val="0"/>
        <w:kinsoku/>
        <w:wordWrap/>
        <w:overflowPunct/>
        <w:topLinePunct w:val="0"/>
        <w:autoSpaceDE w:val="0"/>
        <w:autoSpaceDN/>
        <w:bidi w:val="0"/>
        <w:adjustRightInd/>
        <w:snapToGrid/>
        <w:spacing w:before="0" w:beforeAutospacing="0" w:after="0" w:afterAutospacing="0" w:line="579" w:lineRule="exact"/>
        <w:ind w:right="0" w:rightChars="0" w:firstLine="632" w:firstLineChars="200"/>
        <w:jc w:val="left"/>
        <w:textAlignment w:val="auto"/>
        <w:outlineLvl w:val="0"/>
        <w:rPr>
          <w:rStyle w:val="14"/>
          <w:rFonts w:hint="eastAsia" w:ascii="宋体" w:hAnsi="宋体" w:eastAsia="方正黑体_GBK" w:cs="方正黑体_GBK"/>
          <w:b w:val="0"/>
          <w:sz w:val="32"/>
          <w:szCs w:val="32"/>
          <w:shd w:val="clear" w:color="auto" w:fill="FFFFFF"/>
        </w:rPr>
      </w:pPr>
      <w:r>
        <w:rPr>
          <w:rStyle w:val="14"/>
          <w:rFonts w:hint="eastAsia" w:ascii="宋体" w:hAnsi="宋体" w:eastAsia="方正黑体_GBK" w:cs="方正黑体_GBK"/>
          <w:b w:val="0"/>
          <w:sz w:val="32"/>
          <w:szCs w:val="32"/>
          <w:shd w:val="clear" w:color="auto" w:fill="FFFFFF"/>
          <w:lang w:val="en-US" w:eastAsia="zh-CN"/>
        </w:rPr>
        <w:t>四、</w:t>
      </w:r>
      <w:r>
        <w:rPr>
          <w:rStyle w:val="14"/>
          <w:rFonts w:hint="eastAsia" w:ascii="宋体" w:hAnsi="宋体" w:eastAsia="方正黑体_GBK" w:cs="方正黑体_GBK"/>
          <w:b w:val="0"/>
          <w:sz w:val="32"/>
          <w:szCs w:val="32"/>
          <w:shd w:val="clear" w:color="auto" w:fill="FFFFFF"/>
        </w:rPr>
        <w:t>其他需要说明的事项</w:t>
      </w:r>
    </w:p>
    <w:p w14:paraId="06732FAF">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9" w:lineRule="exact"/>
        <w:ind w:left="0" w:firstLine="632" w:firstLineChars="200"/>
        <w:jc w:val="both"/>
        <w:textAlignment w:val="auto"/>
        <w:outlineLvl w:val="1"/>
        <w:rPr>
          <w:rStyle w:val="14"/>
          <w:rFonts w:hint="default" w:ascii="宋体" w:hAnsi="宋体" w:eastAsia="方正楷体_GBK" w:cs="方正楷体_GBK"/>
          <w:b w:val="0"/>
          <w:bCs/>
          <w:kern w:val="2"/>
          <w:sz w:val="32"/>
          <w:szCs w:val="32"/>
          <w:shd w:val="clear" w:color="auto" w:fill="FFFFFF"/>
          <w:lang w:val="en-US" w:eastAsia="zh-CN" w:bidi="ar-SA"/>
        </w:rPr>
      </w:pPr>
      <w:r>
        <w:rPr>
          <w:rStyle w:val="14"/>
          <w:rFonts w:hint="eastAsia" w:ascii="宋体" w:hAnsi="宋体" w:eastAsia="方正楷体_GBK" w:cs="方正楷体_GBK"/>
          <w:b w:val="0"/>
          <w:bCs/>
          <w:kern w:val="2"/>
          <w:sz w:val="32"/>
          <w:szCs w:val="32"/>
          <w:shd w:val="clear" w:color="auto" w:fill="FFFFFF"/>
          <w:lang w:val="en-US" w:eastAsia="zh-CN" w:bidi="ar-SA"/>
        </w:rPr>
        <w:t>（一）财政拨款会议费和培训费情况</w:t>
      </w:r>
    </w:p>
    <w:p w14:paraId="15097569">
      <w:pPr>
        <w:pStyle w:val="5"/>
        <w:keepNext w:val="0"/>
        <w:keepLines w:val="0"/>
        <w:pageBreakBefore w:val="0"/>
        <w:kinsoku/>
        <w:wordWrap/>
        <w:overflowPunct/>
        <w:topLinePunct w:val="0"/>
        <w:autoSpaceDN/>
        <w:bidi w:val="0"/>
        <w:snapToGrid w:val="0"/>
        <w:spacing w:before="0" w:beforeAutospacing="0" w:after="0" w:afterAutospacing="0" w:line="579" w:lineRule="exact"/>
        <w:ind w:firstLine="632" w:firstLineChars="200"/>
        <w:jc w:val="both"/>
        <w:textAlignment w:val="auto"/>
        <w:rPr>
          <w:rFonts w:hint="eastAsia" w:ascii="方正仿宋_GBK" w:hAnsi="方正仿宋_GBK" w:eastAsia="方正仿宋_GBK" w:cs="方正仿宋_GBK"/>
          <w:color w:val="FF0000"/>
          <w:sz w:val="32"/>
          <w:szCs w:val="32"/>
          <w:lang w:val="en-US" w:eastAsia="zh-CN"/>
        </w:rPr>
      </w:pPr>
      <w:r>
        <w:rPr>
          <w:rFonts w:hint="eastAsia" w:ascii="方正仿宋_GBK" w:hAnsi="方正仿宋_GBK" w:eastAsia="方正仿宋_GBK" w:cs="方正仿宋_GBK"/>
          <w:sz w:val="32"/>
          <w:szCs w:val="32"/>
          <w:shd w:val="clear" w:color="auto" w:fill="FFFFFF"/>
          <w:lang w:val="en-US" w:eastAsia="zh-CN"/>
        </w:rPr>
        <w:t>2024</w:t>
      </w:r>
      <w:r>
        <w:rPr>
          <w:rFonts w:ascii="方正仿宋_GBK" w:hAnsi="方正仿宋_GBK" w:eastAsia="方正仿宋_GBK" w:cs="方正仿宋_GBK"/>
          <w:sz w:val="32"/>
          <w:szCs w:val="32"/>
          <w:shd w:val="clear" w:color="auto" w:fill="FFFFFF"/>
        </w:rPr>
        <w:t>年度会议费支出</w:t>
      </w:r>
      <w:r>
        <w:rPr>
          <w:rFonts w:hint="eastAsia" w:ascii="方正仿宋_GBK" w:hAnsi="方正仿宋_GBK" w:eastAsia="方正仿宋_GBK" w:cs="方正仿宋_GBK"/>
          <w:sz w:val="32"/>
          <w:szCs w:val="32"/>
          <w:lang w:val="en-US" w:eastAsia="zh-CN"/>
        </w:rPr>
        <w:t>0.38</w:t>
      </w:r>
      <w:r>
        <w:rPr>
          <w:rFonts w:ascii="方正仿宋_GBK" w:hAnsi="方正仿宋_GBK" w:eastAsia="方正仿宋_GBK" w:cs="方正仿宋_GBK"/>
          <w:sz w:val="32"/>
          <w:szCs w:val="32"/>
          <w:shd w:val="clear" w:color="auto" w:fill="FFFFFF"/>
        </w:rPr>
        <w:t>万元，与2023年度相比，减少</w:t>
      </w:r>
      <w:r>
        <w:rPr>
          <w:rFonts w:hint="eastAsia" w:ascii="方正仿宋_GBK" w:hAnsi="方正仿宋_GBK" w:eastAsia="方正仿宋_GBK" w:cs="方正仿宋_GBK"/>
          <w:sz w:val="32"/>
          <w:szCs w:val="32"/>
          <w:shd w:val="clear" w:color="auto" w:fill="FFFFFF"/>
          <w:lang w:val="en-US" w:eastAsia="zh-CN"/>
        </w:rPr>
        <w:t>0.55</w:t>
      </w:r>
      <w:r>
        <w:rPr>
          <w:rFonts w:ascii="方正仿宋_GBK" w:hAnsi="方正仿宋_GBK" w:eastAsia="方正仿宋_GBK" w:cs="方正仿宋_GBK"/>
          <w:sz w:val="32"/>
          <w:szCs w:val="32"/>
          <w:shd w:val="clear" w:color="auto" w:fill="FFFFFF"/>
        </w:rPr>
        <w:t>万元，下降</w:t>
      </w:r>
      <w:r>
        <w:rPr>
          <w:rFonts w:hint="eastAsia" w:ascii="方正仿宋_GBK" w:hAnsi="方正仿宋_GBK" w:eastAsia="方正仿宋_GBK" w:cs="方正仿宋_GBK"/>
          <w:sz w:val="32"/>
          <w:szCs w:val="32"/>
          <w:shd w:val="clear" w:color="auto" w:fill="FFFFFF"/>
          <w:lang w:val="en-US" w:eastAsia="zh-CN"/>
        </w:rPr>
        <w:t>58.59</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rPr>
        <w:t>2024年严控会议费开支，精简会议资料费用</w:t>
      </w:r>
      <w:r>
        <w:rPr>
          <w:rFonts w:ascii="方正仿宋_GBK" w:hAnsi="方正仿宋_GBK" w:eastAsia="方正仿宋_GBK" w:cs="方正仿宋_GBK"/>
          <w:sz w:val="32"/>
          <w:szCs w:val="32"/>
          <w:shd w:val="clear" w:color="auto" w:fill="FFFFFF"/>
        </w:rPr>
        <w:t>。本年度培训费支出</w:t>
      </w:r>
      <w:r>
        <w:rPr>
          <w:rFonts w:hint="eastAsia" w:ascii="方正仿宋_GBK" w:hAnsi="方正仿宋_GBK" w:eastAsia="方正仿宋_GBK" w:cs="方正仿宋_GBK"/>
          <w:sz w:val="32"/>
          <w:szCs w:val="32"/>
          <w:lang w:val="en-US" w:eastAsia="zh-CN"/>
        </w:rPr>
        <w:t>0.91</w:t>
      </w:r>
      <w:r>
        <w:rPr>
          <w:rFonts w:ascii="方正仿宋_GBK" w:hAnsi="方正仿宋_GBK" w:eastAsia="方正仿宋_GBK" w:cs="方正仿宋_GBK"/>
          <w:sz w:val="32"/>
          <w:szCs w:val="32"/>
          <w:shd w:val="clear" w:color="auto" w:fill="FFFFFF"/>
        </w:rPr>
        <w:t>万元，与2023年度相比</w:t>
      </w:r>
      <w:r>
        <w:rPr>
          <w:rFonts w:hint="eastAsia" w:ascii="方正仿宋_GBK" w:hAnsi="方正仿宋_GBK" w:eastAsia="方正仿宋_GBK" w:cs="方正仿宋_GBK"/>
          <w:sz w:val="32"/>
          <w:szCs w:val="32"/>
          <w:shd w:val="clear" w:color="auto" w:fill="FFFFFF"/>
          <w:lang w:eastAsia="zh-CN"/>
        </w:rPr>
        <w:t>，</w:t>
      </w:r>
      <w:r>
        <w:rPr>
          <w:rFonts w:hint="eastAsia" w:ascii="方正仿宋_GBK" w:hAnsi="方正仿宋_GBK" w:eastAsia="方正仿宋_GBK" w:cs="方正仿宋_GBK"/>
          <w:sz w:val="32"/>
          <w:szCs w:val="32"/>
          <w:shd w:val="clear" w:color="auto" w:fill="FFFFFF"/>
          <w:lang w:val="en-US" w:eastAsia="zh-CN"/>
        </w:rPr>
        <w:t>减少27.97</w:t>
      </w:r>
      <w:r>
        <w:rPr>
          <w:rFonts w:ascii="方正仿宋_GBK" w:hAnsi="方正仿宋_GBK" w:eastAsia="方正仿宋_GBK" w:cs="方正仿宋_GBK"/>
          <w:sz w:val="32"/>
          <w:szCs w:val="32"/>
          <w:shd w:val="clear" w:color="auto" w:fill="FFFFFF"/>
        </w:rPr>
        <w:t>万元，</w:t>
      </w:r>
      <w:r>
        <w:rPr>
          <w:rFonts w:hint="eastAsia" w:ascii="方正仿宋_GBK" w:hAnsi="方正仿宋_GBK" w:eastAsia="方正仿宋_GBK" w:cs="方正仿宋_GBK"/>
          <w:sz w:val="32"/>
          <w:szCs w:val="32"/>
          <w:shd w:val="clear" w:color="auto" w:fill="FFFFFF"/>
          <w:lang w:val="en-US" w:eastAsia="zh-CN"/>
        </w:rPr>
        <w:t>下降96.86</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rPr>
        <w:t>2023年进行了优化营商环境培训，2024年未进行培训，且其他培训大幅减少。</w:t>
      </w:r>
    </w:p>
    <w:p w14:paraId="4A092991">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9" w:lineRule="exact"/>
        <w:ind w:left="0" w:firstLine="632" w:firstLineChars="200"/>
        <w:jc w:val="both"/>
        <w:textAlignment w:val="auto"/>
        <w:outlineLvl w:val="1"/>
        <w:rPr>
          <w:rStyle w:val="14"/>
          <w:rFonts w:hint="default" w:ascii="宋体" w:hAnsi="宋体" w:eastAsia="方正楷体_GBK" w:cs="方正楷体_GBK"/>
          <w:b w:val="0"/>
          <w:bCs/>
          <w:kern w:val="2"/>
          <w:sz w:val="32"/>
          <w:szCs w:val="32"/>
          <w:shd w:val="clear" w:color="auto" w:fill="FFFFFF"/>
          <w:lang w:val="en-US" w:eastAsia="zh-CN" w:bidi="ar-SA"/>
        </w:rPr>
      </w:pPr>
      <w:r>
        <w:rPr>
          <w:rStyle w:val="14"/>
          <w:rFonts w:hint="eastAsia" w:ascii="宋体" w:hAnsi="宋体" w:eastAsia="方正楷体_GBK" w:cs="方正楷体_GBK"/>
          <w:b w:val="0"/>
          <w:bCs/>
          <w:kern w:val="2"/>
          <w:sz w:val="32"/>
          <w:szCs w:val="32"/>
          <w:shd w:val="clear" w:color="auto" w:fill="FFFFFF"/>
          <w:lang w:val="en-US" w:eastAsia="zh-CN" w:bidi="ar-SA"/>
        </w:rPr>
        <w:t>（二）机关运行经费情况</w:t>
      </w:r>
    </w:p>
    <w:p w14:paraId="386772B6">
      <w:pPr>
        <w:keepNext w:val="0"/>
        <w:keepLines w:val="0"/>
        <w:pageBreakBefore w:val="0"/>
        <w:widowControl w:val="0"/>
        <w:kinsoku/>
        <w:wordWrap/>
        <w:overflowPunct/>
        <w:topLinePunct w:val="0"/>
        <w:autoSpaceDE/>
        <w:autoSpaceDN/>
        <w:bidi w:val="0"/>
        <w:adjustRightInd/>
        <w:snapToGrid/>
        <w:spacing w:line="579" w:lineRule="exact"/>
        <w:ind w:firstLine="632" w:firstLineChars="200"/>
        <w:textAlignment w:val="auto"/>
        <w:rPr>
          <w:rFonts w:hint="eastAsia" w:ascii="宋体" w:hAnsi="宋体" w:eastAsia="方正仿宋_GBK" w:cs="方正仿宋_GBK"/>
          <w:kern w:val="0"/>
          <w:sz w:val="32"/>
          <w:szCs w:val="32"/>
        </w:rPr>
      </w:pPr>
      <w:r>
        <w:rPr>
          <w:rFonts w:hint="eastAsia" w:ascii="宋体" w:hAnsi="宋体" w:eastAsia="方正仿宋_GBK" w:cs="方正仿宋_GBK"/>
          <w:kern w:val="0"/>
          <w:sz w:val="32"/>
          <w:szCs w:val="32"/>
        </w:rPr>
        <w:t>202</w:t>
      </w:r>
      <w:r>
        <w:rPr>
          <w:rFonts w:hint="eastAsia" w:ascii="宋体" w:hAnsi="宋体" w:eastAsia="方正仿宋_GBK" w:cs="方正仿宋_GBK"/>
          <w:kern w:val="0"/>
          <w:sz w:val="32"/>
          <w:szCs w:val="32"/>
          <w:lang w:val="en-US" w:eastAsia="zh-CN"/>
        </w:rPr>
        <w:t>4</w:t>
      </w:r>
      <w:r>
        <w:rPr>
          <w:rFonts w:hint="eastAsia" w:ascii="宋体" w:hAnsi="宋体" w:eastAsia="方正仿宋_GBK" w:cs="方正仿宋_GBK"/>
          <w:kern w:val="0"/>
          <w:sz w:val="32"/>
          <w:szCs w:val="32"/>
        </w:rPr>
        <w:t>年度本</w:t>
      </w:r>
      <w:r>
        <w:rPr>
          <w:rFonts w:hint="eastAsia" w:ascii="宋体" w:hAnsi="宋体" w:eastAsia="方正仿宋_GBK" w:cs="方正仿宋_GBK"/>
          <w:kern w:val="0"/>
          <w:sz w:val="32"/>
          <w:szCs w:val="32"/>
          <w:lang w:val="en-US" w:eastAsia="zh-CN"/>
        </w:rPr>
        <w:t>部门</w:t>
      </w:r>
      <w:r>
        <w:rPr>
          <w:rFonts w:hint="eastAsia" w:ascii="宋体" w:hAnsi="宋体" w:eastAsia="方正仿宋_GBK" w:cs="方正仿宋_GBK"/>
          <w:kern w:val="0"/>
          <w:sz w:val="32"/>
          <w:szCs w:val="32"/>
        </w:rPr>
        <w:t>机关运行经费支出</w:t>
      </w:r>
      <w:r>
        <w:rPr>
          <w:rFonts w:hint="eastAsia" w:ascii="宋体" w:hAnsi="宋体" w:eastAsia="方正仿宋_GBK" w:cs="方正仿宋_GBK"/>
          <w:kern w:val="0"/>
          <w:sz w:val="32"/>
          <w:szCs w:val="32"/>
          <w:lang w:val="en-US" w:eastAsia="zh-CN"/>
        </w:rPr>
        <w:t>161.36</w:t>
      </w:r>
      <w:r>
        <w:rPr>
          <w:rFonts w:hint="eastAsia" w:ascii="宋体" w:hAnsi="宋体" w:eastAsia="方正仿宋_GBK" w:cs="方正仿宋_GBK"/>
          <w:kern w:val="0"/>
          <w:sz w:val="32"/>
          <w:szCs w:val="32"/>
        </w:rPr>
        <w:t>万元，</w:t>
      </w:r>
      <w:r>
        <w:rPr>
          <w:rFonts w:hint="eastAsia" w:ascii="宋体" w:hAnsi="宋体" w:eastAsia="方正仿宋_GBK" w:cs="方正仿宋_GBK"/>
          <w:kern w:val="0"/>
          <w:sz w:val="32"/>
          <w:szCs w:val="32"/>
          <w:lang w:val="en-US" w:eastAsia="zh-CN"/>
        </w:rPr>
        <w:t>较上年</w:t>
      </w:r>
      <w:r>
        <w:rPr>
          <w:rFonts w:hint="eastAsia" w:ascii="宋体" w:hAnsi="宋体" w:eastAsia="方正仿宋_GBK" w:cs="方正仿宋_GBK"/>
          <w:kern w:val="0"/>
          <w:sz w:val="32"/>
          <w:szCs w:val="32"/>
        </w:rPr>
        <w:t>增加</w:t>
      </w:r>
      <w:r>
        <w:rPr>
          <w:rFonts w:hint="eastAsia" w:ascii="宋体" w:hAnsi="宋体" w:eastAsia="方正仿宋_GBK" w:cs="方正仿宋_GBK"/>
          <w:kern w:val="0"/>
          <w:sz w:val="32"/>
          <w:szCs w:val="32"/>
          <w:lang w:val="en-US" w:eastAsia="zh-CN"/>
        </w:rPr>
        <w:t>3.88</w:t>
      </w:r>
      <w:r>
        <w:rPr>
          <w:rFonts w:hint="eastAsia" w:ascii="宋体" w:hAnsi="宋体" w:eastAsia="方正仿宋_GBK" w:cs="方正仿宋_GBK"/>
          <w:kern w:val="0"/>
          <w:sz w:val="32"/>
          <w:szCs w:val="32"/>
        </w:rPr>
        <w:t>万元，增长</w:t>
      </w:r>
      <w:r>
        <w:rPr>
          <w:rFonts w:hint="eastAsia" w:ascii="宋体" w:hAnsi="宋体" w:eastAsia="方正仿宋_GBK" w:cs="方正仿宋_GBK"/>
          <w:kern w:val="0"/>
          <w:sz w:val="32"/>
          <w:szCs w:val="32"/>
          <w:lang w:val="en-US" w:eastAsia="zh-CN"/>
        </w:rPr>
        <w:t>2.46</w:t>
      </w:r>
      <w:r>
        <w:rPr>
          <w:rFonts w:hint="eastAsia" w:ascii="宋体" w:hAnsi="宋体" w:eastAsia="方正仿宋_GBK" w:cs="方正仿宋_GBK"/>
          <w:kern w:val="0"/>
          <w:sz w:val="32"/>
          <w:szCs w:val="32"/>
        </w:rPr>
        <w:t>%，主要原因是</w:t>
      </w:r>
      <w:r>
        <w:rPr>
          <w:rFonts w:hint="eastAsia" w:ascii="宋体" w:hAnsi="宋体" w:eastAsia="方正仿宋_GBK" w:cs="方正仿宋_GBK"/>
          <w:kern w:val="0"/>
          <w:sz w:val="32"/>
          <w:szCs w:val="32"/>
          <w:lang w:val="en-US" w:eastAsia="zh-CN"/>
        </w:rPr>
        <w:t>2024年较2023年弥补人员经费开支减少，机关运行经费增加。</w:t>
      </w:r>
      <w:r>
        <w:rPr>
          <w:rFonts w:hint="eastAsia" w:ascii="宋体" w:hAnsi="宋体" w:eastAsia="方正仿宋_GBK" w:cs="方正仿宋_GBK"/>
          <w:kern w:val="0"/>
          <w:sz w:val="32"/>
          <w:szCs w:val="32"/>
        </w:rPr>
        <w:t>比年初预算数</w:t>
      </w:r>
      <w:r>
        <w:rPr>
          <w:rFonts w:hint="eastAsia" w:ascii="宋体" w:hAnsi="宋体" w:eastAsia="方正仿宋_GBK" w:cs="方正仿宋_GBK"/>
          <w:kern w:val="0"/>
          <w:sz w:val="32"/>
          <w:szCs w:val="32"/>
          <w:lang w:val="en-US" w:eastAsia="zh-CN"/>
        </w:rPr>
        <w:t>减少44.74</w:t>
      </w:r>
      <w:r>
        <w:rPr>
          <w:rFonts w:hint="eastAsia" w:ascii="宋体" w:hAnsi="宋体" w:eastAsia="方正仿宋_GBK" w:cs="方正仿宋_GBK"/>
          <w:kern w:val="0"/>
          <w:sz w:val="32"/>
          <w:szCs w:val="32"/>
        </w:rPr>
        <w:t>万元，</w:t>
      </w:r>
      <w:r>
        <w:rPr>
          <w:rFonts w:hint="eastAsia" w:ascii="宋体" w:hAnsi="宋体" w:eastAsia="方正仿宋_GBK" w:cs="方正仿宋_GBK"/>
          <w:kern w:val="0"/>
          <w:sz w:val="32"/>
          <w:szCs w:val="32"/>
          <w:lang w:val="en-US" w:eastAsia="zh-CN"/>
        </w:rPr>
        <w:t>下降21.71</w:t>
      </w:r>
      <w:r>
        <w:rPr>
          <w:rFonts w:hint="eastAsia" w:ascii="宋体" w:hAnsi="宋体" w:eastAsia="方正仿宋_GBK" w:cs="方正仿宋_GBK"/>
          <w:kern w:val="0"/>
          <w:sz w:val="32"/>
          <w:szCs w:val="32"/>
        </w:rPr>
        <w:t>%，主要原因是按照部门决算列报口径，我</w:t>
      </w:r>
      <w:r>
        <w:rPr>
          <w:rFonts w:hint="eastAsia" w:ascii="宋体" w:hAnsi="宋体" w:cs="方正仿宋_GBK"/>
          <w:kern w:val="0"/>
          <w:sz w:val="32"/>
          <w:szCs w:val="32"/>
          <w:lang w:val="en-US" w:eastAsia="zh-CN"/>
        </w:rPr>
        <w:t>部门下属事业单位电子政务服务中心</w:t>
      </w:r>
      <w:r>
        <w:rPr>
          <w:rFonts w:hint="eastAsia" w:ascii="宋体" w:hAnsi="宋体" w:eastAsia="方正仿宋_GBK" w:cs="方正仿宋_GBK"/>
          <w:kern w:val="0"/>
          <w:sz w:val="32"/>
          <w:szCs w:val="32"/>
        </w:rPr>
        <w:t>不在机关运行经费统计范围之内</w:t>
      </w:r>
      <w:r>
        <w:rPr>
          <w:rFonts w:hint="eastAsia" w:ascii="宋体" w:hAnsi="宋体" w:cs="方正仿宋_GBK"/>
          <w:kern w:val="0"/>
          <w:sz w:val="32"/>
          <w:szCs w:val="32"/>
          <w:lang w:eastAsia="zh-CN"/>
        </w:rPr>
        <w:t>，</w:t>
      </w:r>
      <w:r>
        <w:rPr>
          <w:rFonts w:hint="eastAsia" w:ascii="宋体" w:hAnsi="宋体" w:cs="方正仿宋_GBK"/>
          <w:kern w:val="0"/>
          <w:sz w:val="32"/>
          <w:szCs w:val="32"/>
          <w:lang w:val="en-US" w:eastAsia="zh-CN"/>
        </w:rPr>
        <w:t>所以决算比年初预算减少</w:t>
      </w:r>
      <w:r>
        <w:rPr>
          <w:rFonts w:hint="eastAsia" w:ascii="宋体" w:hAnsi="宋体" w:eastAsia="方正仿宋_GBK" w:cs="方正仿宋_GBK"/>
          <w:kern w:val="0"/>
          <w:sz w:val="32"/>
          <w:szCs w:val="32"/>
        </w:rPr>
        <w:t>。机关运</w:t>
      </w:r>
      <w:r>
        <w:rPr>
          <w:rFonts w:hint="eastAsia" w:ascii="宋体" w:hAnsi="宋体" w:eastAsia="方正仿宋_GBK" w:cs="方正仿宋_GBK"/>
          <w:kern w:val="0"/>
          <w:sz w:val="32"/>
          <w:szCs w:val="32"/>
          <w:lang w:val="en-US" w:eastAsia="zh-CN"/>
        </w:rPr>
        <w:t>行</w:t>
      </w:r>
      <w:r>
        <w:rPr>
          <w:rFonts w:hint="eastAsia" w:ascii="宋体" w:hAnsi="宋体" w:eastAsia="方正仿宋_GBK" w:cs="方正仿宋_GBK"/>
          <w:kern w:val="0"/>
          <w:sz w:val="32"/>
          <w:szCs w:val="32"/>
        </w:rPr>
        <w:t>经费主要用于</w:t>
      </w:r>
      <w:r>
        <w:rPr>
          <w:rFonts w:hint="eastAsia" w:ascii="宋体" w:hAnsi="宋体" w:eastAsia="方正仿宋_GBK" w:cs="方正仿宋_GBK"/>
          <w:kern w:val="0"/>
          <w:sz w:val="32"/>
          <w:szCs w:val="32"/>
          <w:lang w:val="en-US" w:eastAsia="zh-CN"/>
        </w:rPr>
        <w:t>开支办公费、印刷费、水费、电费、邮电费、差旅费、维修费、会议费、培训费、公务接待费、劳务费、委托业务费、工会经费、福利费、公务用车运行维护费、其他交通费用、其他商品和服务支出、办公设备购置</w:t>
      </w:r>
      <w:r>
        <w:rPr>
          <w:rFonts w:hint="eastAsia" w:ascii="宋体" w:hAnsi="宋体" w:eastAsia="方正仿宋_GBK" w:cs="方正仿宋_GBK"/>
          <w:kern w:val="0"/>
          <w:sz w:val="32"/>
          <w:szCs w:val="32"/>
        </w:rPr>
        <w:t>。</w:t>
      </w:r>
    </w:p>
    <w:p w14:paraId="2E8FB2E2">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9" w:lineRule="exact"/>
        <w:ind w:left="0" w:firstLine="632" w:firstLineChars="200"/>
        <w:jc w:val="both"/>
        <w:textAlignment w:val="auto"/>
        <w:outlineLvl w:val="1"/>
        <w:rPr>
          <w:rStyle w:val="14"/>
          <w:rFonts w:hint="eastAsia" w:ascii="宋体" w:hAnsi="宋体" w:eastAsia="方正楷体_GBK" w:cs="方正楷体_GBK"/>
          <w:b w:val="0"/>
          <w:bCs/>
          <w:kern w:val="2"/>
          <w:sz w:val="32"/>
          <w:szCs w:val="32"/>
          <w:shd w:val="clear" w:color="auto" w:fill="FFFFFF"/>
          <w:lang w:val="en-US" w:eastAsia="zh-CN" w:bidi="ar-SA"/>
        </w:rPr>
      </w:pPr>
      <w:r>
        <w:rPr>
          <w:rStyle w:val="14"/>
          <w:rFonts w:hint="eastAsia" w:ascii="宋体" w:hAnsi="宋体" w:eastAsia="方正楷体_GBK" w:cs="方正楷体_GBK"/>
          <w:b w:val="0"/>
          <w:bCs/>
          <w:kern w:val="2"/>
          <w:sz w:val="32"/>
          <w:szCs w:val="32"/>
          <w:shd w:val="clear" w:color="auto" w:fill="FFFFFF"/>
          <w:lang w:val="en-US" w:eastAsia="zh-CN" w:bidi="ar-SA"/>
        </w:rPr>
        <w:t>（三）国有资产占用情况说明</w:t>
      </w:r>
    </w:p>
    <w:p w14:paraId="1FFE28D3">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9" w:lineRule="exact"/>
        <w:ind w:left="0" w:firstLine="632" w:firstLineChars="200"/>
        <w:jc w:val="both"/>
        <w:textAlignment w:val="auto"/>
        <w:rPr>
          <w:rFonts w:hint="eastAsia" w:ascii="宋体" w:hAnsi="宋体" w:eastAsia="方正仿宋_GBK" w:cs="方正仿宋_GBK"/>
          <w:kern w:val="0"/>
          <w:sz w:val="32"/>
          <w:szCs w:val="32"/>
        </w:rPr>
      </w:pPr>
      <w:r>
        <w:rPr>
          <w:rFonts w:hint="eastAsia" w:ascii="宋体" w:hAnsi="宋体" w:eastAsia="方正仿宋_GBK" w:cs="方正仿宋_GBK"/>
          <w:kern w:val="0"/>
          <w:sz w:val="32"/>
          <w:szCs w:val="32"/>
        </w:rPr>
        <w:t>截至202</w:t>
      </w:r>
      <w:r>
        <w:rPr>
          <w:rFonts w:hint="eastAsia" w:ascii="宋体" w:hAnsi="宋体" w:eastAsia="方正仿宋_GBK" w:cs="方正仿宋_GBK"/>
          <w:kern w:val="0"/>
          <w:sz w:val="32"/>
          <w:szCs w:val="32"/>
          <w:lang w:val="en-US" w:eastAsia="zh-CN"/>
        </w:rPr>
        <w:t>4</w:t>
      </w:r>
      <w:r>
        <w:rPr>
          <w:rFonts w:hint="eastAsia" w:ascii="宋体" w:hAnsi="宋体" w:eastAsia="方正仿宋_GBK" w:cs="方正仿宋_GBK"/>
          <w:kern w:val="0"/>
          <w:sz w:val="32"/>
          <w:szCs w:val="32"/>
        </w:rPr>
        <w:t>年12月31日，本部门共有车辆</w:t>
      </w:r>
      <w:r>
        <w:rPr>
          <w:rFonts w:hint="eastAsia" w:ascii="宋体" w:hAnsi="宋体" w:eastAsia="方正仿宋_GBK" w:cs="方正仿宋_GBK"/>
          <w:kern w:val="0"/>
          <w:sz w:val="32"/>
          <w:szCs w:val="32"/>
          <w:lang w:val="en-US" w:eastAsia="zh-CN"/>
        </w:rPr>
        <w:t>1</w:t>
      </w:r>
      <w:r>
        <w:rPr>
          <w:rFonts w:hint="eastAsia" w:ascii="宋体" w:hAnsi="宋体" w:eastAsia="方正仿宋_GBK" w:cs="方正仿宋_GBK"/>
          <w:kern w:val="0"/>
          <w:sz w:val="32"/>
          <w:szCs w:val="32"/>
        </w:rPr>
        <w:t>辆。其中：副部（省）级及以上领导用车</w:t>
      </w:r>
      <w:r>
        <w:rPr>
          <w:rFonts w:hint="eastAsia" w:ascii="宋体" w:hAnsi="宋体" w:eastAsia="方正仿宋_GBK" w:cs="方正仿宋_GBK"/>
          <w:kern w:val="0"/>
          <w:sz w:val="32"/>
          <w:szCs w:val="32"/>
          <w:lang w:val="en-US" w:eastAsia="zh-CN"/>
        </w:rPr>
        <w:t>0</w:t>
      </w:r>
      <w:r>
        <w:rPr>
          <w:rFonts w:hint="eastAsia" w:ascii="宋体" w:hAnsi="宋体" w:eastAsia="方正仿宋_GBK" w:cs="方正仿宋_GBK"/>
          <w:kern w:val="0"/>
          <w:sz w:val="32"/>
          <w:szCs w:val="32"/>
        </w:rPr>
        <w:t>辆，主要</w:t>
      </w:r>
      <w:r>
        <w:rPr>
          <w:rFonts w:hint="eastAsia" w:ascii="宋体" w:hAnsi="宋体" w:eastAsia="方正仿宋_GBK" w:cs="方正仿宋_GBK"/>
          <w:kern w:val="0"/>
          <w:sz w:val="32"/>
          <w:szCs w:val="32"/>
          <w:lang w:val="en-US" w:eastAsia="zh-CN"/>
        </w:rPr>
        <w:t>负责人</w:t>
      </w:r>
      <w:r>
        <w:rPr>
          <w:rFonts w:hint="eastAsia" w:ascii="宋体" w:hAnsi="宋体" w:eastAsia="方正仿宋_GBK" w:cs="方正仿宋_GBK"/>
          <w:kern w:val="0"/>
          <w:sz w:val="32"/>
          <w:szCs w:val="32"/>
        </w:rPr>
        <w:t>用车</w:t>
      </w:r>
      <w:r>
        <w:rPr>
          <w:rFonts w:hint="eastAsia" w:ascii="宋体" w:hAnsi="宋体" w:eastAsia="方正仿宋_GBK" w:cs="方正仿宋_GBK"/>
          <w:kern w:val="0"/>
          <w:sz w:val="32"/>
          <w:szCs w:val="32"/>
          <w:lang w:val="en-US" w:eastAsia="zh-CN"/>
        </w:rPr>
        <w:t>0</w:t>
      </w:r>
      <w:r>
        <w:rPr>
          <w:rFonts w:hint="eastAsia" w:ascii="宋体" w:hAnsi="宋体" w:eastAsia="方正仿宋_GBK" w:cs="方正仿宋_GBK"/>
          <w:kern w:val="0"/>
          <w:sz w:val="32"/>
          <w:szCs w:val="32"/>
        </w:rPr>
        <w:t>辆，机要通信用车</w:t>
      </w:r>
      <w:r>
        <w:rPr>
          <w:rFonts w:hint="eastAsia" w:ascii="宋体" w:hAnsi="宋体" w:eastAsia="方正仿宋_GBK" w:cs="方正仿宋_GBK"/>
          <w:kern w:val="0"/>
          <w:sz w:val="32"/>
          <w:szCs w:val="32"/>
          <w:lang w:val="en-US" w:eastAsia="zh-CN"/>
        </w:rPr>
        <w:t>0</w:t>
      </w:r>
      <w:r>
        <w:rPr>
          <w:rFonts w:hint="eastAsia" w:ascii="宋体" w:hAnsi="宋体" w:eastAsia="方正仿宋_GBK" w:cs="方正仿宋_GBK"/>
          <w:kern w:val="0"/>
          <w:sz w:val="32"/>
          <w:szCs w:val="32"/>
        </w:rPr>
        <w:t>辆，应急保障用车</w:t>
      </w:r>
      <w:r>
        <w:rPr>
          <w:rFonts w:hint="eastAsia" w:ascii="宋体" w:hAnsi="宋体" w:eastAsia="方正仿宋_GBK" w:cs="方正仿宋_GBK"/>
          <w:kern w:val="0"/>
          <w:sz w:val="32"/>
          <w:szCs w:val="32"/>
          <w:lang w:val="en-US" w:eastAsia="zh-CN"/>
        </w:rPr>
        <w:t>1</w:t>
      </w:r>
      <w:r>
        <w:rPr>
          <w:rFonts w:hint="eastAsia" w:ascii="宋体" w:hAnsi="宋体" w:eastAsia="方正仿宋_GBK" w:cs="方正仿宋_GBK"/>
          <w:kern w:val="0"/>
          <w:sz w:val="32"/>
          <w:szCs w:val="32"/>
        </w:rPr>
        <w:t>辆，执法执勤用车</w:t>
      </w:r>
      <w:r>
        <w:rPr>
          <w:rFonts w:hint="eastAsia" w:ascii="宋体" w:hAnsi="宋体" w:eastAsia="方正仿宋_GBK" w:cs="方正仿宋_GBK"/>
          <w:kern w:val="0"/>
          <w:sz w:val="32"/>
          <w:szCs w:val="32"/>
          <w:lang w:val="en-US" w:eastAsia="zh-CN"/>
        </w:rPr>
        <w:t>0</w:t>
      </w:r>
      <w:r>
        <w:rPr>
          <w:rFonts w:hint="eastAsia" w:ascii="宋体" w:hAnsi="宋体" w:eastAsia="方正仿宋_GBK" w:cs="方正仿宋_GBK"/>
          <w:kern w:val="0"/>
          <w:sz w:val="32"/>
          <w:szCs w:val="32"/>
        </w:rPr>
        <w:t>辆，特种专业技术用车</w:t>
      </w:r>
      <w:r>
        <w:rPr>
          <w:rFonts w:hint="eastAsia" w:ascii="宋体" w:hAnsi="宋体" w:eastAsia="方正仿宋_GBK" w:cs="方正仿宋_GBK"/>
          <w:kern w:val="0"/>
          <w:sz w:val="32"/>
          <w:szCs w:val="32"/>
          <w:lang w:val="en-US" w:eastAsia="zh-CN"/>
        </w:rPr>
        <w:t>0</w:t>
      </w:r>
      <w:r>
        <w:rPr>
          <w:rFonts w:hint="eastAsia" w:ascii="宋体" w:hAnsi="宋体" w:eastAsia="方正仿宋_GBK" w:cs="方正仿宋_GBK"/>
          <w:kern w:val="0"/>
          <w:sz w:val="32"/>
          <w:szCs w:val="32"/>
        </w:rPr>
        <w:t>辆，离退休干部</w:t>
      </w:r>
      <w:r>
        <w:rPr>
          <w:rFonts w:hint="eastAsia" w:ascii="宋体" w:hAnsi="宋体" w:eastAsia="方正仿宋_GBK" w:cs="方正仿宋_GBK"/>
          <w:kern w:val="0"/>
          <w:sz w:val="32"/>
          <w:szCs w:val="32"/>
          <w:lang w:val="en-US" w:eastAsia="zh-CN"/>
        </w:rPr>
        <w:t>服务</w:t>
      </w:r>
      <w:r>
        <w:rPr>
          <w:rFonts w:hint="eastAsia" w:ascii="宋体" w:hAnsi="宋体" w:eastAsia="方正仿宋_GBK" w:cs="方正仿宋_GBK"/>
          <w:kern w:val="0"/>
          <w:sz w:val="32"/>
          <w:szCs w:val="32"/>
        </w:rPr>
        <w:t>用车</w:t>
      </w:r>
      <w:r>
        <w:rPr>
          <w:rFonts w:hint="eastAsia" w:ascii="宋体" w:hAnsi="宋体" w:eastAsia="方正仿宋_GBK" w:cs="方正仿宋_GBK"/>
          <w:kern w:val="0"/>
          <w:sz w:val="32"/>
          <w:szCs w:val="32"/>
          <w:lang w:val="en-US" w:eastAsia="zh-CN"/>
        </w:rPr>
        <w:t>0</w:t>
      </w:r>
      <w:r>
        <w:rPr>
          <w:rFonts w:hint="eastAsia" w:ascii="宋体" w:hAnsi="宋体" w:eastAsia="方正仿宋_GBK" w:cs="方正仿宋_GBK"/>
          <w:kern w:val="0"/>
          <w:sz w:val="32"/>
          <w:szCs w:val="32"/>
        </w:rPr>
        <w:t>辆，其他用车</w:t>
      </w:r>
      <w:r>
        <w:rPr>
          <w:rFonts w:hint="eastAsia" w:ascii="宋体" w:hAnsi="宋体" w:eastAsia="方正仿宋_GBK" w:cs="方正仿宋_GBK"/>
          <w:kern w:val="0"/>
          <w:sz w:val="32"/>
          <w:szCs w:val="32"/>
          <w:lang w:val="en-US" w:eastAsia="zh-CN"/>
        </w:rPr>
        <w:t>0</w:t>
      </w:r>
      <w:r>
        <w:rPr>
          <w:rFonts w:hint="eastAsia" w:ascii="宋体" w:hAnsi="宋体" w:eastAsia="方正仿宋_GBK" w:cs="方正仿宋_GBK"/>
          <w:kern w:val="0"/>
          <w:sz w:val="32"/>
          <w:szCs w:val="32"/>
        </w:rPr>
        <w:t>辆。单价100万元（含）以上设备</w:t>
      </w:r>
      <w:r>
        <w:rPr>
          <w:rFonts w:hint="eastAsia" w:ascii="宋体" w:hAnsi="宋体" w:eastAsia="方正仿宋_GBK" w:cs="方正仿宋_GBK"/>
          <w:kern w:val="0"/>
          <w:sz w:val="32"/>
          <w:szCs w:val="32"/>
          <w:lang w:eastAsia="zh-CN"/>
        </w:rPr>
        <w:t>（</w:t>
      </w:r>
      <w:r>
        <w:rPr>
          <w:rFonts w:hint="eastAsia" w:ascii="宋体" w:hAnsi="宋体" w:eastAsia="方正仿宋_GBK" w:cs="方正仿宋_GBK"/>
          <w:kern w:val="0"/>
          <w:sz w:val="32"/>
          <w:szCs w:val="32"/>
          <w:lang w:val="en-US" w:eastAsia="zh-CN"/>
        </w:rPr>
        <w:t>不含车辆</w:t>
      </w:r>
      <w:r>
        <w:rPr>
          <w:rFonts w:hint="eastAsia" w:ascii="宋体" w:hAnsi="宋体" w:eastAsia="方正仿宋_GBK" w:cs="方正仿宋_GBK"/>
          <w:kern w:val="0"/>
          <w:sz w:val="32"/>
          <w:szCs w:val="32"/>
          <w:lang w:eastAsia="zh-CN"/>
        </w:rPr>
        <w:t>）</w:t>
      </w:r>
      <w:r>
        <w:rPr>
          <w:rFonts w:hint="eastAsia" w:ascii="宋体" w:hAnsi="宋体" w:eastAsia="方正仿宋_GBK" w:cs="方正仿宋_GBK"/>
          <w:kern w:val="0"/>
          <w:sz w:val="32"/>
          <w:szCs w:val="32"/>
          <w:lang w:val="en-US" w:eastAsia="zh-CN"/>
        </w:rPr>
        <w:t>0</w:t>
      </w:r>
      <w:r>
        <w:rPr>
          <w:rFonts w:hint="eastAsia" w:ascii="宋体" w:hAnsi="宋体" w:eastAsia="方正仿宋_GBK" w:cs="方正仿宋_GBK"/>
          <w:kern w:val="0"/>
          <w:sz w:val="32"/>
          <w:szCs w:val="32"/>
        </w:rPr>
        <w:t>台（套）。</w:t>
      </w:r>
    </w:p>
    <w:p w14:paraId="32AA7B50">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9" w:lineRule="exact"/>
        <w:ind w:left="0" w:firstLine="632" w:firstLineChars="200"/>
        <w:jc w:val="both"/>
        <w:textAlignment w:val="auto"/>
        <w:outlineLvl w:val="1"/>
        <w:rPr>
          <w:rStyle w:val="14"/>
          <w:rFonts w:hint="eastAsia" w:ascii="宋体" w:hAnsi="宋体" w:eastAsia="方正楷体_GBK" w:cs="方正楷体_GBK"/>
          <w:b w:val="0"/>
          <w:bCs/>
          <w:kern w:val="2"/>
          <w:sz w:val="32"/>
          <w:szCs w:val="32"/>
          <w:shd w:val="clear" w:color="auto" w:fill="FFFFFF"/>
          <w:lang w:val="en-US" w:eastAsia="zh-CN" w:bidi="ar-SA"/>
        </w:rPr>
      </w:pPr>
      <w:r>
        <w:rPr>
          <w:rStyle w:val="14"/>
          <w:rFonts w:hint="eastAsia" w:ascii="宋体" w:hAnsi="宋体" w:eastAsia="方正楷体_GBK" w:cs="方正楷体_GBK"/>
          <w:b w:val="0"/>
          <w:bCs/>
          <w:kern w:val="2"/>
          <w:sz w:val="32"/>
          <w:szCs w:val="32"/>
          <w:shd w:val="clear" w:color="auto" w:fill="FFFFFF"/>
          <w:lang w:val="en-US" w:eastAsia="zh-CN" w:bidi="ar-SA"/>
        </w:rPr>
        <w:t>（四）政府采购支出说明</w:t>
      </w:r>
    </w:p>
    <w:p w14:paraId="791BA41C">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9" w:lineRule="exact"/>
        <w:ind w:left="0" w:firstLine="632" w:firstLineChars="200"/>
        <w:jc w:val="both"/>
        <w:textAlignment w:val="auto"/>
        <w:rPr>
          <w:rFonts w:hint="eastAsia" w:ascii="宋体" w:hAnsi="宋体" w:eastAsia="方正仿宋_GBK" w:cs="方正仿宋_GBK"/>
          <w:color w:val="auto"/>
          <w:sz w:val="32"/>
          <w:lang w:val="en-US" w:eastAsia="zh-CN"/>
        </w:rPr>
      </w:pPr>
      <w:r>
        <w:rPr>
          <w:rFonts w:hint="eastAsia" w:ascii="宋体" w:hAnsi="宋体" w:eastAsia="方正仿宋_GBK" w:cs="方正仿宋_GBK"/>
          <w:kern w:val="0"/>
          <w:sz w:val="32"/>
          <w:szCs w:val="32"/>
        </w:rPr>
        <w:t>202</w:t>
      </w:r>
      <w:r>
        <w:rPr>
          <w:rFonts w:hint="eastAsia" w:ascii="宋体" w:hAnsi="宋体" w:eastAsia="方正仿宋_GBK" w:cs="方正仿宋_GBK"/>
          <w:kern w:val="0"/>
          <w:sz w:val="32"/>
          <w:szCs w:val="32"/>
          <w:lang w:val="en-US" w:eastAsia="zh-CN"/>
        </w:rPr>
        <w:t>4</w:t>
      </w:r>
      <w:r>
        <w:rPr>
          <w:rFonts w:hint="eastAsia" w:ascii="宋体" w:hAnsi="宋体" w:eastAsia="方正仿宋_GBK" w:cs="方正仿宋_GBK"/>
          <w:kern w:val="0"/>
          <w:sz w:val="32"/>
          <w:szCs w:val="32"/>
        </w:rPr>
        <w:t>年度本部门政府采购支出总额</w:t>
      </w:r>
      <w:r>
        <w:rPr>
          <w:rFonts w:hint="eastAsia" w:ascii="宋体" w:hAnsi="宋体" w:eastAsia="方正仿宋_GBK" w:cs="方正仿宋_GBK"/>
          <w:kern w:val="0"/>
          <w:sz w:val="32"/>
          <w:szCs w:val="32"/>
          <w:lang w:val="en-US" w:eastAsia="zh-CN"/>
        </w:rPr>
        <w:t>758.20</w:t>
      </w:r>
      <w:r>
        <w:rPr>
          <w:rFonts w:hint="eastAsia" w:ascii="宋体" w:hAnsi="宋体" w:eastAsia="方正仿宋_GBK" w:cs="方正仿宋_GBK"/>
          <w:kern w:val="0"/>
          <w:sz w:val="32"/>
          <w:szCs w:val="32"/>
        </w:rPr>
        <w:t>万元，其中：政府采购货物支出</w:t>
      </w:r>
      <w:r>
        <w:rPr>
          <w:rFonts w:hint="eastAsia" w:ascii="宋体" w:hAnsi="宋体" w:eastAsia="方正仿宋_GBK" w:cs="方正仿宋_GBK"/>
          <w:kern w:val="0"/>
          <w:sz w:val="32"/>
          <w:szCs w:val="32"/>
          <w:lang w:val="en-US" w:eastAsia="zh-CN"/>
        </w:rPr>
        <w:t>0</w:t>
      </w:r>
      <w:r>
        <w:rPr>
          <w:rFonts w:hint="eastAsia" w:ascii="宋体" w:hAnsi="宋体" w:eastAsia="方正仿宋_GBK" w:cs="方正仿宋_GBK"/>
          <w:kern w:val="0"/>
          <w:sz w:val="32"/>
          <w:szCs w:val="32"/>
        </w:rPr>
        <w:t>万元、政府采购工程支出</w:t>
      </w:r>
      <w:r>
        <w:rPr>
          <w:rFonts w:hint="eastAsia" w:ascii="宋体" w:hAnsi="宋体" w:eastAsia="方正仿宋_GBK" w:cs="方正仿宋_GBK"/>
          <w:kern w:val="0"/>
          <w:sz w:val="32"/>
          <w:szCs w:val="32"/>
          <w:lang w:val="en-US" w:eastAsia="zh-CN"/>
        </w:rPr>
        <w:t>0</w:t>
      </w:r>
      <w:r>
        <w:rPr>
          <w:rFonts w:hint="eastAsia" w:ascii="宋体" w:hAnsi="宋体" w:eastAsia="方正仿宋_GBK" w:cs="方正仿宋_GBK"/>
          <w:kern w:val="0"/>
          <w:sz w:val="32"/>
          <w:szCs w:val="32"/>
        </w:rPr>
        <w:t>万元、政府采购服务支出</w:t>
      </w:r>
      <w:r>
        <w:rPr>
          <w:rFonts w:hint="eastAsia" w:ascii="宋体" w:hAnsi="宋体" w:eastAsia="方正仿宋_GBK" w:cs="方正仿宋_GBK"/>
          <w:kern w:val="0"/>
          <w:sz w:val="32"/>
          <w:szCs w:val="32"/>
          <w:lang w:val="en-US" w:eastAsia="zh-CN"/>
        </w:rPr>
        <w:t>758.20</w:t>
      </w:r>
      <w:r>
        <w:rPr>
          <w:rFonts w:hint="eastAsia" w:ascii="宋体" w:hAnsi="宋体" w:eastAsia="方正仿宋_GBK" w:cs="方正仿宋_GBK"/>
          <w:kern w:val="0"/>
          <w:sz w:val="32"/>
          <w:szCs w:val="32"/>
        </w:rPr>
        <w:t>万元。授予中小企业合同金额</w:t>
      </w:r>
      <w:r>
        <w:rPr>
          <w:rFonts w:hint="eastAsia" w:ascii="宋体" w:hAnsi="宋体" w:eastAsia="方正仿宋_GBK" w:cs="方正仿宋_GBK"/>
          <w:kern w:val="0"/>
          <w:sz w:val="32"/>
          <w:szCs w:val="32"/>
          <w:lang w:val="en-US" w:eastAsia="zh-CN"/>
        </w:rPr>
        <w:t>489.10</w:t>
      </w:r>
      <w:r>
        <w:rPr>
          <w:rFonts w:hint="eastAsia" w:ascii="宋体" w:hAnsi="宋体" w:eastAsia="方正仿宋_GBK" w:cs="方正仿宋_GBK"/>
          <w:kern w:val="0"/>
          <w:sz w:val="32"/>
          <w:szCs w:val="32"/>
        </w:rPr>
        <w:t>万元，占政府采购支出总额的</w:t>
      </w:r>
      <w:r>
        <w:rPr>
          <w:rFonts w:hint="eastAsia" w:ascii="宋体" w:hAnsi="宋体" w:eastAsia="方正仿宋_GBK" w:cs="方正仿宋_GBK"/>
          <w:kern w:val="0"/>
          <w:sz w:val="32"/>
          <w:szCs w:val="32"/>
          <w:lang w:val="en-US" w:eastAsia="zh-CN"/>
        </w:rPr>
        <w:t>64.51</w:t>
      </w:r>
      <w:r>
        <w:rPr>
          <w:rFonts w:hint="eastAsia" w:ascii="宋体" w:hAnsi="宋体" w:eastAsia="方正仿宋_GBK" w:cs="方正仿宋_GBK"/>
          <w:kern w:val="0"/>
          <w:sz w:val="32"/>
          <w:szCs w:val="32"/>
        </w:rPr>
        <w:t>%，其中：授予小微企业合同金额</w:t>
      </w:r>
      <w:r>
        <w:rPr>
          <w:rFonts w:hint="eastAsia" w:ascii="宋体" w:hAnsi="宋体" w:eastAsia="方正仿宋_GBK" w:cs="方正仿宋_GBK"/>
          <w:kern w:val="0"/>
          <w:sz w:val="32"/>
          <w:szCs w:val="32"/>
          <w:lang w:val="en-US" w:eastAsia="zh-CN"/>
        </w:rPr>
        <w:t>116.10</w:t>
      </w:r>
      <w:r>
        <w:rPr>
          <w:rFonts w:hint="eastAsia" w:ascii="宋体" w:hAnsi="宋体" w:eastAsia="方正仿宋_GBK" w:cs="方正仿宋_GBK"/>
          <w:kern w:val="0"/>
          <w:sz w:val="32"/>
          <w:szCs w:val="32"/>
        </w:rPr>
        <w:t>万元，占政府采购支出总额的</w:t>
      </w:r>
      <w:r>
        <w:rPr>
          <w:rFonts w:hint="eastAsia" w:ascii="宋体" w:hAnsi="宋体" w:eastAsia="方正仿宋_GBK" w:cs="方正仿宋_GBK"/>
          <w:kern w:val="0"/>
          <w:sz w:val="32"/>
          <w:szCs w:val="32"/>
          <w:lang w:val="en-US" w:eastAsia="zh-CN"/>
        </w:rPr>
        <w:t>15.31</w:t>
      </w:r>
      <w:r>
        <w:rPr>
          <w:rFonts w:hint="eastAsia" w:ascii="宋体" w:hAnsi="宋体" w:eastAsia="方正仿宋_GBK" w:cs="方正仿宋_GBK"/>
          <w:kern w:val="0"/>
          <w:sz w:val="32"/>
          <w:szCs w:val="32"/>
        </w:rPr>
        <w:t>%。</w:t>
      </w:r>
      <w:r>
        <w:rPr>
          <w:rFonts w:hint="eastAsia" w:ascii="宋体" w:hAnsi="宋体" w:eastAsia="方正仿宋_GBK" w:cs="方正仿宋_GBK"/>
          <w:color w:val="auto"/>
          <w:sz w:val="32"/>
          <w:lang w:val="en-US" w:eastAsia="zh-CN"/>
        </w:rPr>
        <w:t>主要用于采购江津区电子政务外网数据交换服务、江津区电子政务外网链路租赁服务、江津区政府网站技术和内容维护。</w:t>
      </w:r>
    </w:p>
    <w:p w14:paraId="61F2F956">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9" w:lineRule="exact"/>
        <w:ind w:left="0" w:firstLine="632" w:firstLineChars="200"/>
        <w:jc w:val="left"/>
        <w:textAlignment w:val="auto"/>
        <w:outlineLvl w:val="0"/>
        <w:rPr>
          <w:rFonts w:hint="eastAsia" w:ascii="宋体" w:hAnsi="宋体" w:eastAsia="方正黑体_GBK" w:cs="方正黑体_GBK"/>
          <w:b w:val="0"/>
          <w:bCs/>
          <w:sz w:val="32"/>
          <w:szCs w:val="32"/>
          <w:lang w:eastAsia="zh-CN"/>
        </w:rPr>
      </w:pPr>
      <w:r>
        <w:rPr>
          <w:rStyle w:val="8"/>
          <w:rFonts w:hint="eastAsia" w:ascii="宋体" w:hAnsi="宋体" w:eastAsia="方正黑体_GBK" w:cs="方正黑体_GBK"/>
          <w:b w:val="0"/>
          <w:bCs/>
          <w:sz w:val="32"/>
          <w:szCs w:val="32"/>
          <w:shd w:val="clear" w:color="auto" w:fill="FFFFFF"/>
        </w:rPr>
        <w:t>五、预算绩效管理情况</w:t>
      </w:r>
    </w:p>
    <w:p w14:paraId="70089838">
      <w:pPr>
        <w:pStyle w:val="5"/>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579" w:lineRule="exact"/>
        <w:ind w:left="0" w:firstLine="632" w:firstLineChars="200"/>
        <w:jc w:val="left"/>
        <w:textAlignment w:val="auto"/>
        <w:outlineLvl w:val="1"/>
        <w:rPr>
          <w:rFonts w:hint="eastAsia" w:ascii="宋体" w:hAnsi="宋体" w:eastAsia="方正楷体_GBK" w:cs="方正楷体_GBK"/>
        </w:rPr>
      </w:pPr>
      <w:r>
        <w:rPr>
          <w:rStyle w:val="14"/>
          <w:rFonts w:hint="eastAsia" w:ascii="宋体" w:hAnsi="宋体" w:eastAsia="方正楷体_GBK" w:cs="方正楷体_GBK"/>
          <w:b w:val="0"/>
          <w:bCs/>
          <w:kern w:val="2"/>
          <w:sz w:val="32"/>
          <w:szCs w:val="32"/>
          <w:shd w:val="clear" w:color="auto" w:fill="FFFFFF"/>
          <w:lang w:val="en-US" w:eastAsia="zh-CN" w:bidi="ar-SA"/>
        </w:rPr>
        <w:t>（一）预算绩效管理工作开展情况</w:t>
      </w:r>
    </w:p>
    <w:p w14:paraId="7D12C99B">
      <w:pPr>
        <w:pStyle w:val="5"/>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579" w:lineRule="exact"/>
        <w:ind w:left="0" w:firstLine="632" w:firstLineChars="200"/>
        <w:jc w:val="left"/>
        <w:textAlignment w:val="auto"/>
        <w:rPr>
          <w:rFonts w:hint="eastAsia" w:ascii="宋体" w:hAnsi="宋体" w:eastAsia="方正仿宋_GBK" w:cs="方正仿宋_GBK"/>
        </w:rPr>
      </w:pPr>
      <w:r>
        <w:rPr>
          <w:rFonts w:hint="eastAsia" w:ascii="宋体" w:hAnsi="宋体" w:eastAsia="方正仿宋_GBK" w:cs="方正仿宋_GBK"/>
          <w:kern w:val="0"/>
          <w:sz w:val="32"/>
          <w:szCs w:val="32"/>
        </w:rPr>
        <w:t>根据预算绩效管理要求，我</w:t>
      </w:r>
      <w:r>
        <w:rPr>
          <w:rFonts w:hint="eastAsia" w:ascii="宋体" w:hAnsi="宋体" w:eastAsia="方正仿宋_GBK" w:cs="方正仿宋_GBK"/>
          <w:kern w:val="0"/>
          <w:sz w:val="32"/>
          <w:szCs w:val="32"/>
          <w:lang w:val="en-US" w:eastAsia="zh-CN"/>
        </w:rPr>
        <w:t>办</w:t>
      </w:r>
      <w:r>
        <w:rPr>
          <w:rFonts w:hint="eastAsia" w:ascii="宋体" w:hAnsi="宋体" w:eastAsia="方正仿宋_GBK" w:cs="方正仿宋_GBK"/>
          <w:kern w:val="0"/>
          <w:sz w:val="32"/>
          <w:szCs w:val="32"/>
        </w:rPr>
        <w:t>对部门整体和</w:t>
      </w:r>
      <w:r>
        <w:rPr>
          <w:rFonts w:hint="eastAsia" w:ascii="宋体" w:hAnsi="宋体" w:eastAsia="方正仿宋_GBK" w:cs="方正仿宋_GBK"/>
          <w:kern w:val="0"/>
          <w:sz w:val="32"/>
          <w:szCs w:val="32"/>
          <w:lang w:val="en-US" w:eastAsia="zh-CN"/>
        </w:rPr>
        <w:t>13</w:t>
      </w:r>
      <w:r>
        <w:rPr>
          <w:rFonts w:hint="eastAsia" w:ascii="宋体" w:hAnsi="宋体" w:eastAsia="方正仿宋_GBK" w:cs="方正仿宋_GBK"/>
          <w:kern w:val="0"/>
          <w:sz w:val="32"/>
          <w:szCs w:val="32"/>
        </w:rPr>
        <w:t>个项目开展了绩效自评，其中，以填报目标自评表形式开展自评</w:t>
      </w:r>
      <w:r>
        <w:rPr>
          <w:rFonts w:hint="eastAsia" w:ascii="宋体" w:hAnsi="宋体" w:eastAsia="方正仿宋_GBK" w:cs="方正仿宋_GBK"/>
          <w:kern w:val="0"/>
          <w:sz w:val="32"/>
          <w:szCs w:val="32"/>
          <w:lang w:val="en-US" w:eastAsia="zh-CN"/>
        </w:rPr>
        <w:t>13</w:t>
      </w:r>
      <w:r>
        <w:rPr>
          <w:rFonts w:hint="eastAsia" w:ascii="宋体" w:hAnsi="宋体" w:eastAsia="方正仿宋_GBK" w:cs="方正仿宋_GBK"/>
          <w:kern w:val="0"/>
          <w:sz w:val="32"/>
          <w:szCs w:val="32"/>
        </w:rPr>
        <w:t>项，涉及资金</w:t>
      </w:r>
      <w:r>
        <w:rPr>
          <w:rFonts w:hint="eastAsia" w:ascii="宋体" w:hAnsi="宋体" w:eastAsia="方正仿宋_GBK" w:cs="方正仿宋_GBK"/>
          <w:kern w:val="0"/>
          <w:sz w:val="32"/>
          <w:szCs w:val="32"/>
          <w:lang w:val="en-US" w:eastAsia="zh-CN"/>
        </w:rPr>
        <w:t>1833.43</w:t>
      </w:r>
      <w:r>
        <w:rPr>
          <w:rFonts w:hint="eastAsia" w:ascii="宋体" w:hAnsi="宋体" w:eastAsia="方正仿宋_GBK" w:cs="方正仿宋_GBK"/>
          <w:kern w:val="0"/>
          <w:sz w:val="32"/>
          <w:szCs w:val="32"/>
        </w:rPr>
        <w:t>万元；以委托第三方形式开展绩效自评</w:t>
      </w:r>
      <w:r>
        <w:rPr>
          <w:rFonts w:hint="eastAsia" w:ascii="宋体" w:hAnsi="宋体" w:eastAsia="方正仿宋_GBK" w:cs="方正仿宋_GBK"/>
          <w:kern w:val="0"/>
          <w:sz w:val="32"/>
          <w:szCs w:val="32"/>
          <w:lang w:val="en-US" w:eastAsia="zh-CN"/>
        </w:rPr>
        <w:t>0</w:t>
      </w:r>
      <w:r>
        <w:rPr>
          <w:rFonts w:hint="eastAsia" w:ascii="宋体" w:hAnsi="宋体" w:eastAsia="方正仿宋_GBK" w:cs="方正仿宋_GBK"/>
          <w:kern w:val="0"/>
          <w:sz w:val="32"/>
          <w:szCs w:val="32"/>
        </w:rPr>
        <w:t>项，涉及资金</w:t>
      </w:r>
      <w:r>
        <w:rPr>
          <w:rFonts w:hint="eastAsia" w:ascii="宋体" w:hAnsi="宋体" w:eastAsia="方正仿宋_GBK" w:cs="方正仿宋_GBK"/>
          <w:kern w:val="0"/>
          <w:sz w:val="32"/>
          <w:szCs w:val="32"/>
          <w:lang w:val="en-US" w:eastAsia="zh-CN"/>
        </w:rPr>
        <w:t>0</w:t>
      </w:r>
      <w:r>
        <w:rPr>
          <w:rFonts w:hint="eastAsia" w:ascii="宋体" w:hAnsi="宋体" w:eastAsia="方正仿宋_GBK" w:cs="方正仿宋_GBK"/>
          <w:kern w:val="0"/>
          <w:sz w:val="32"/>
          <w:szCs w:val="32"/>
        </w:rPr>
        <w:t>万元</w:t>
      </w:r>
      <w:r>
        <w:rPr>
          <w:rFonts w:hint="eastAsia" w:ascii="宋体" w:hAnsi="宋体" w:eastAsia="方正仿宋_GBK" w:cs="方正仿宋_GBK"/>
          <w:kern w:val="0"/>
          <w:sz w:val="32"/>
          <w:szCs w:val="32"/>
          <w:lang w:eastAsia="zh-CN"/>
        </w:rPr>
        <w:t>。</w:t>
      </w:r>
    </w:p>
    <w:p w14:paraId="41222D91">
      <w:pPr>
        <w:pStyle w:val="5"/>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579" w:lineRule="exact"/>
        <w:ind w:left="0" w:firstLine="632" w:firstLineChars="200"/>
        <w:jc w:val="left"/>
        <w:textAlignment w:val="auto"/>
        <w:outlineLvl w:val="1"/>
        <w:rPr>
          <w:rStyle w:val="14"/>
          <w:rFonts w:hint="eastAsia" w:ascii="宋体" w:hAnsi="宋体" w:eastAsia="方正楷体_GBK" w:cs="方正楷体_GBK"/>
          <w:b w:val="0"/>
          <w:bCs/>
          <w:kern w:val="2"/>
          <w:sz w:val="32"/>
          <w:szCs w:val="32"/>
          <w:shd w:val="clear" w:color="auto" w:fill="FFFFFF"/>
          <w:lang w:val="en-US" w:eastAsia="zh-CN" w:bidi="ar-SA"/>
        </w:rPr>
      </w:pPr>
      <w:r>
        <w:rPr>
          <w:rStyle w:val="14"/>
          <w:rFonts w:hint="eastAsia" w:ascii="宋体" w:hAnsi="宋体" w:eastAsia="方正楷体_GBK" w:cs="方正楷体_GBK"/>
          <w:b w:val="0"/>
          <w:bCs/>
          <w:kern w:val="2"/>
          <w:sz w:val="32"/>
          <w:szCs w:val="32"/>
          <w:shd w:val="clear" w:color="auto" w:fill="FFFFFF"/>
          <w:lang w:val="en-US" w:eastAsia="zh-CN" w:bidi="ar-SA"/>
        </w:rPr>
        <w:t>（二）绩效自评结果</w:t>
      </w:r>
    </w:p>
    <w:p w14:paraId="5C1F3EA4">
      <w:pPr>
        <w:pStyle w:val="5"/>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579" w:lineRule="exact"/>
        <w:ind w:left="0" w:firstLine="632" w:firstLineChars="200"/>
        <w:jc w:val="left"/>
        <w:textAlignment w:val="auto"/>
        <w:rPr>
          <w:rFonts w:hint="eastAsia" w:ascii="宋体" w:hAnsi="宋体" w:eastAsia="方正仿宋_GBK" w:cs="方正仿宋_GBK"/>
          <w:b/>
          <w:bCs/>
          <w:color w:val="auto"/>
          <w:sz w:val="32"/>
          <w:lang w:val="en-US" w:eastAsia="zh-CN"/>
        </w:rPr>
      </w:pPr>
      <w:r>
        <w:rPr>
          <w:rFonts w:hint="eastAsia" w:ascii="宋体" w:hAnsi="宋体" w:eastAsia="方正仿宋_GBK" w:cs="方正仿宋_GBK"/>
          <w:b/>
          <w:bCs/>
          <w:color w:val="auto"/>
          <w:sz w:val="32"/>
          <w:lang w:val="en-US" w:eastAsia="zh-CN"/>
        </w:rPr>
        <w:t>1. 绩效目标自评表</w:t>
      </w:r>
    </w:p>
    <w:p w14:paraId="53A66796">
      <w:pPr>
        <w:pStyle w:val="9"/>
        <w:keepNext w:val="0"/>
        <w:keepLines w:val="0"/>
        <w:pageBreakBefore w:val="0"/>
        <w:tabs>
          <w:tab w:val="center" w:pos="4153"/>
          <w:tab w:val="left" w:pos="7275"/>
        </w:tabs>
        <w:kinsoku/>
        <w:wordWrap/>
        <w:overflowPunct/>
        <w:topLinePunct w:val="0"/>
        <w:autoSpaceDN/>
        <w:bidi w:val="0"/>
        <w:snapToGrid/>
        <w:spacing w:line="579" w:lineRule="exact"/>
        <w:ind w:firstLine="640"/>
        <w:textAlignment w:val="auto"/>
        <w:rPr>
          <w:rFonts w:hint="eastAsia" w:ascii="宋体" w:hAnsi="宋体" w:eastAsia="方正仿宋_GBK" w:cs="方正仿宋_GBK"/>
          <w:color w:val="auto"/>
          <w:kern w:val="0"/>
          <w:sz w:val="32"/>
          <w:szCs w:val="32"/>
          <w:lang w:eastAsia="zh-CN"/>
        </w:rPr>
      </w:pPr>
      <w:r>
        <w:rPr>
          <w:rFonts w:hint="eastAsia" w:ascii="宋体" w:hAnsi="宋体" w:eastAsia="方正仿宋_GBK" w:cs="方正仿宋_GBK"/>
          <w:color w:val="000000"/>
          <w:kern w:val="0"/>
          <w:sz w:val="32"/>
          <w:szCs w:val="32"/>
        </w:rPr>
        <w:t>（1）公开范围。</w:t>
      </w:r>
      <w:r>
        <w:rPr>
          <w:rFonts w:hint="eastAsia" w:ascii="宋体" w:hAnsi="宋体" w:eastAsia="方正仿宋_GBK" w:cs="方正仿宋_GBK"/>
          <w:color w:val="auto"/>
          <w:kern w:val="0"/>
          <w:sz w:val="32"/>
          <w:szCs w:val="32"/>
        </w:rPr>
        <w:t>部门整体绩效自评表</w:t>
      </w:r>
      <w:r>
        <w:rPr>
          <w:rFonts w:hint="eastAsia" w:ascii="宋体" w:hAnsi="宋体" w:eastAsia="方正仿宋_GBK" w:cs="方正仿宋_GBK"/>
          <w:color w:val="auto"/>
          <w:kern w:val="0"/>
          <w:sz w:val="32"/>
          <w:szCs w:val="32"/>
          <w:lang w:val="en-US" w:eastAsia="zh-CN"/>
        </w:rPr>
        <w:t>和</w:t>
      </w:r>
      <w:r>
        <w:rPr>
          <w:rFonts w:hint="eastAsia" w:ascii="宋体" w:hAnsi="宋体" w:eastAsia="方正仿宋_GBK" w:cs="方正仿宋_GBK"/>
          <w:color w:val="auto"/>
          <w:sz w:val="32"/>
          <w:szCs w:val="32"/>
          <w:highlight w:val="none"/>
          <w:lang w:val="en-US" w:eastAsia="zh-CN"/>
        </w:rPr>
        <w:t>项目绩效自评表。</w:t>
      </w:r>
    </w:p>
    <w:p w14:paraId="1D2BE31E">
      <w:pPr>
        <w:pStyle w:val="9"/>
        <w:keepNext w:val="0"/>
        <w:keepLines w:val="0"/>
        <w:pageBreakBefore w:val="0"/>
        <w:widowControl w:val="0"/>
        <w:tabs>
          <w:tab w:val="center" w:pos="4153"/>
          <w:tab w:val="left" w:pos="7275"/>
        </w:tabs>
        <w:kinsoku/>
        <w:wordWrap/>
        <w:overflowPunct/>
        <w:topLinePunct w:val="0"/>
        <w:autoSpaceDE/>
        <w:autoSpaceDN/>
        <w:bidi w:val="0"/>
        <w:adjustRightInd/>
        <w:snapToGrid/>
        <w:spacing w:line="579" w:lineRule="exact"/>
        <w:ind w:firstLine="640"/>
        <w:textAlignment w:val="auto"/>
        <w:rPr>
          <w:rFonts w:hint="eastAsia" w:ascii="宋体" w:hAnsi="宋体" w:eastAsia="方正仿宋_GBK" w:cs="方正仿宋_GBK"/>
          <w:kern w:val="0"/>
          <w:sz w:val="32"/>
          <w:szCs w:val="32"/>
        </w:rPr>
      </w:pPr>
      <w:r>
        <w:rPr>
          <w:rFonts w:hint="eastAsia" w:ascii="宋体" w:hAnsi="宋体" w:eastAsia="方正仿宋_GBK" w:cs="方正仿宋_GBK"/>
          <w:kern w:val="0"/>
          <w:sz w:val="32"/>
          <w:szCs w:val="32"/>
        </w:rPr>
        <w:t>（2）公开内容。详见表格。</w:t>
      </w:r>
    </w:p>
    <w:p w14:paraId="129C7E9E">
      <w:pPr>
        <w:pStyle w:val="9"/>
        <w:keepNext w:val="0"/>
        <w:keepLines w:val="0"/>
        <w:pageBreakBefore w:val="0"/>
        <w:tabs>
          <w:tab w:val="center" w:pos="4153"/>
          <w:tab w:val="left" w:pos="7275"/>
        </w:tabs>
        <w:kinsoku/>
        <w:wordWrap/>
        <w:overflowPunct/>
        <w:topLinePunct w:val="0"/>
        <w:autoSpaceDN/>
        <w:bidi w:val="0"/>
        <w:snapToGrid/>
        <w:spacing w:line="579" w:lineRule="exact"/>
        <w:ind w:firstLine="0" w:firstLineChars="0"/>
        <w:jc w:val="center"/>
        <w:textAlignment w:val="auto"/>
        <w:rPr>
          <w:rFonts w:hint="eastAsia" w:ascii="方正黑体_GBK" w:hAnsi="方正黑体_GBK" w:eastAsia="方正黑体_GBK" w:cs="方正黑体_GBK"/>
          <w:b w:val="0"/>
          <w:bCs w:val="0"/>
          <w:color w:val="000000"/>
          <w:kern w:val="0"/>
          <w:sz w:val="36"/>
          <w:szCs w:val="36"/>
          <w:lang w:val="en-US" w:eastAsia="zh-CN"/>
        </w:rPr>
      </w:pPr>
    </w:p>
    <w:p w14:paraId="00085D8E">
      <w:pPr>
        <w:pStyle w:val="9"/>
        <w:keepNext w:val="0"/>
        <w:keepLines w:val="0"/>
        <w:pageBreakBefore w:val="0"/>
        <w:tabs>
          <w:tab w:val="center" w:pos="4153"/>
          <w:tab w:val="left" w:pos="7275"/>
        </w:tabs>
        <w:kinsoku/>
        <w:wordWrap/>
        <w:overflowPunct/>
        <w:topLinePunct w:val="0"/>
        <w:autoSpaceDN/>
        <w:bidi w:val="0"/>
        <w:snapToGrid/>
        <w:spacing w:line="579" w:lineRule="exact"/>
        <w:ind w:firstLine="0" w:firstLineChars="0"/>
        <w:jc w:val="center"/>
        <w:textAlignment w:val="auto"/>
        <w:rPr>
          <w:rFonts w:hint="eastAsia" w:ascii="方正黑体_GBK" w:hAnsi="方正黑体_GBK" w:eastAsia="方正黑体_GBK" w:cs="方正黑体_GBK"/>
          <w:b w:val="0"/>
          <w:bCs w:val="0"/>
          <w:color w:val="000000"/>
          <w:kern w:val="0"/>
          <w:sz w:val="36"/>
          <w:szCs w:val="36"/>
        </w:rPr>
      </w:pPr>
      <w:r>
        <w:rPr>
          <w:rFonts w:hint="eastAsia" w:ascii="方正黑体_GBK" w:hAnsi="方正黑体_GBK" w:eastAsia="方正黑体_GBK" w:cs="方正黑体_GBK"/>
          <w:b w:val="0"/>
          <w:bCs w:val="0"/>
          <w:color w:val="000000"/>
          <w:kern w:val="0"/>
          <w:sz w:val="36"/>
          <w:szCs w:val="36"/>
          <w:lang w:val="en-US" w:eastAsia="zh-CN"/>
        </w:rPr>
        <w:t>2024年度部门整体</w:t>
      </w:r>
      <w:r>
        <w:rPr>
          <w:rFonts w:hint="eastAsia" w:ascii="方正黑体_GBK" w:hAnsi="方正黑体_GBK" w:eastAsia="方正黑体_GBK" w:cs="方正黑体_GBK"/>
          <w:b w:val="0"/>
          <w:bCs w:val="0"/>
          <w:color w:val="000000"/>
          <w:kern w:val="0"/>
          <w:sz w:val="36"/>
          <w:szCs w:val="36"/>
        </w:rPr>
        <w:t>绩效自评表</w:t>
      </w:r>
    </w:p>
    <w:tbl>
      <w:tblPr>
        <w:tblStyle w:val="6"/>
        <w:tblW w:w="101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7"/>
        <w:gridCol w:w="1175"/>
        <w:gridCol w:w="455"/>
        <w:gridCol w:w="909"/>
        <w:gridCol w:w="1311"/>
        <w:gridCol w:w="842"/>
        <w:gridCol w:w="774"/>
        <w:gridCol w:w="831"/>
        <w:gridCol w:w="916"/>
        <w:gridCol w:w="803"/>
        <w:gridCol w:w="1269"/>
      </w:tblGrid>
      <w:tr w14:paraId="2A1CED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8" w:hRule="atLeast"/>
          <w:jc w:val="center"/>
        </w:trPr>
        <w:tc>
          <w:tcPr>
            <w:tcW w:w="847" w:type="dxa"/>
            <w:tcBorders>
              <w:tl2br w:val="nil"/>
              <w:tr2bl w:val="nil"/>
            </w:tcBorders>
            <w:noWrap w:val="0"/>
            <w:vAlign w:val="center"/>
          </w:tcPr>
          <w:p w14:paraId="577711C6">
            <w:pPr>
              <w:keepNext w:val="0"/>
              <w:keepLines w:val="0"/>
              <w:pageBreakBefore w:val="0"/>
              <w:widowControl/>
              <w:kinsoku/>
              <w:wordWrap/>
              <w:overflowPunct/>
              <w:topLinePunct w:val="0"/>
              <w:autoSpaceDE/>
              <w:autoSpaceDN/>
              <w:bidi w:val="0"/>
              <w:adjustRightInd/>
              <w:snapToGrid/>
              <w:spacing w:line="579" w:lineRule="exact"/>
              <w:jc w:val="center"/>
              <w:textAlignment w:val="auto"/>
              <w:rPr>
                <w:rFonts w:hint="eastAsia"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项目</w:t>
            </w:r>
          </w:p>
          <w:p w14:paraId="294EFABA">
            <w:pPr>
              <w:keepNext w:val="0"/>
              <w:keepLines w:val="0"/>
              <w:pageBreakBefore w:val="0"/>
              <w:widowControl/>
              <w:kinsoku/>
              <w:wordWrap/>
              <w:overflowPunct/>
              <w:topLinePunct w:val="0"/>
              <w:autoSpaceDE/>
              <w:autoSpaceDN/>
              <w:bidi w:val="0"/>
              <w:adjustRightInd/>
              <w:snapToGrid/>
              <w:spacing w:line="579" w:lineRule="exact"/>
              <w:jc w:val="center"/>
              <w:textAlignment w:val="auto"/>
              <w:rPr>
                <w:rFonts w:hint="eastAsia"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名称</w:t>
            </w:r>
          </w:p>
        </w:tc>
        <w:tc>
          <w:tcPr>
            <w:tcW w:w="3850" w:type="dxa"/>
            <w:gridSpan w:val="4"/>
            <w:tcBorders>
              <w:tl2br w:val="nil"/>
              <w:tr2bl w:val="nil"/>
            </w:tcBorders>
            <w:noWrap w:val="0"/>
            <w:vAlign w:val="center"/>
          </w:tcPr>
          <w:p w14:paraId="38B65CBA">
            <w:pPr>
              <w:keepNext w:val="0"/>
              <w:keepLines w:val="0"/>
              <w:pageBreakBefore w:val="0"/>
              <w:widowControl/>
              <w:kinsoku/>
              <w:wordWrap/>
              <w:overflowPunct/>
              <w:topLinePunct w:val="0"/>
              <w:autoSpaceDN/>
              <w:bidi w:val="0"/>
              <w:snapToGrid/>
              <w:spacing w:line="579" w:lineRule="exact"/>
              <w:jc w:val="center"/>
              <w:textAlignment w:val="auto"/>
              <w:rPr>
                <w:rFonts w:hint="eastAsia"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重庆市江津区政务服务管理办公室整体监控</w:t>
            </w:r>
          </w:p>
        </w:tc>
        <w:tc>
          <w:tcPr>
            <w:tcW w:w="1616" w:type="dxa"/>
            <w:gridSpan w:val="2"/>
            <w:tcBorders>
              <w:tl2br w:val="nil"/>
              <w:tr2bl w:val="nil"/>
            </w:tcBorders>
            <w:noWrap w:val="0"/>
            <w:vAlign w:val="center"/>
          </w:tcPr>
          <w:p w14:paraId="4232DD1A">
            <w:pPr>
              <w:keepNext w:val="0"/>
              <w:keepLines w:val="0"/>
              <w:pageBreakBefore w:val="0"/>
              <w:widowControl/>
              <w:kinsoku/>
              <w:wordWrap/>
              <w:overflowPunct/>
              <w:topLinePunct w:val="0"/>
              <w:autoSpaceDN/>
              <w:bidi w:val="0"/>
              <w:snapToGrid/>
              <w:spacing w:line="579" w:lineRule="exact"/>
              <w:jc w:val="center"/>
              <w:textAlignment w:val="auto"/>
              <w:rPr>
                <w:rFonts w:hint="eastAsia"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自评总分</w:t>
            </w:r>
          </w:p>
          <w:p w14:paraId="2D51444E">
            <w:pPr>
              <w:keepNext w:val="0"/>
              <w:keepLines w:val="0"/>
              <w:pageBreakBefore w:val="0"/>
              <w:widowControl/>
              <w:kinsoku/>
              <w:wordWrap/>
              <w:overflowPunct/>
              <w:topLinePunct w:val="0"/>
              <w:autoSpaceDN/>
              <w:bidi w:val="0"/>
              <w:snapToGrid/>
              <w:spacing w:line="579" w:lineRule="exact"/>
              <w:jc w:val="center"/>
              <w:textAlignment w:val="auto"/>
              <w:rPr>
                <w:rFonts w:hint="eastAsia"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（分）</w:t>
            </w:r>
          </w:p>
        </w:tc>
        <w:tc>
          <w:tcPr>
            <w:tcW w:w="3819" w:type="dxa"/>
            <w:gridSpan w:val="4"/>
            <w:tcBorders>
              <w:tl2br w:val="nil"/>
              <w:tr2bl w:val="nil"/>
            </w:tcBorders>
            <w:noWrap w:val="0"/>
            <w:vAlign w:val="center"/>
          </w:tcPr>
          <w:p w14:paraId="441FB98D">
            <w:pPr>
              <w:keepNext w:val="0"/>
              <w:keepLines w:val="0"/>
              <w:pageBreakBefore w:val="0"/>
              <w:widowControl/>
              <w:kinsoku/>
              <w:wordWrap/>
              <w:overflowPunct/>
              <w:topLinePunct w:val="0"/>
              <w:autoSpaceDN/>
              <w:bidi w:val="0"/>
              <w:snapToGrid/>
              <w:spacing w:line="579" w:lineRule="exact"/>
              <w:textAlignment w:val="auto"/>
              <w:rPr>
                <w:rFonts w:hint="default" w:ascii="宋体" w:hAnsi="宋体" w:eastAsia="方正仿宋_GBK" w:cs="方正仿宋_GBK"/>
                <w:color w:val="000000"/>
                <w:kern w:val="0"/>
                <w:sz w:val="24"/>
                <w:szCs w:val="24"/>
                <w:lang w:val="en-US" w:eastAsia="zh-CN"/>
              </w:rPr>
            </w:pPr>
            <w:r>
              <w:rPr>
                <w:rFonts w:hint="eastAsia" w:ascii="宋体" w:hAnsi="宋体" w:eastAsia="方正仿宋_GBK" w:cs="方正仿宋_GBK"/>
                <w:color w:val="000000"/>
                <w:kern w:val="0"/>
                <w:sz w:val="24"/>
                <w:szCs w:val="24"/>
                <w:lang w:val="en-US" w:eastAsia="zh-CN"/>
              </w:rPr>
              <w:t>95.50</w:t>
            </w:r>
          </w:p>
        </w:tc>
      </w:tr>
      <w:tr w14:paraId="6D9B2B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2" w:hRule="atLeast"/>
          <w:jc w:val="center"/>
        </w:trPr>
        <w:tc>
          <w:tcPr>
            <w:tcW w:w="847" w:type="dxa"/>
            <w:tcBorders>
              <w:tl2br w:val="nil"/>
              <w:tr2bl w:val="nil"/>
            </w:tcBorders>
            <w:noWrap w:val="0"/>
            <w:vAlign w:val="center"/>
          </w:tcPr>
          <w:p w14:paraId="5C896A64">
            <w:pPr>
              <w:keepNext w:val="0"/>
              <w:keepLines w:val="0"/>
              <w:pageBreakBefore w:val="0"/>
              <w:widowControl/>
              <w:kinsoku/>
              <w:wordWrap/>
              <w:overflowPunct/>
              <w:topLinePunct w:val="0"/>
              <w:autoSpaceDE/>
              <w:autoSpaceDN/>
              <w:bidi w:val="0"/>
              <w:adjustRightInd/>
              <w:snapToGrid/>
              <w:spacing w:line="579" w:lineRule="exact"/>
              <w:jc w:val="center"/>
              <w:textAlignment w:val="auto"/>
              <w:rPr>
                <w:rFonts w:hint="eastAsia"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lang w:val="en-US" w:eastAsia="zh-CN"/>
              </w:rPr>
              <w:t>项目</w:t>
            </w:r>
            <w:r>
              <w:rPr>
                <w:rFonts w:hint="eastAsia" w:ascii="宋体" w:hAnsi="宋体" w:eastAsia="方正仿宋_GBK" w:cs="方正仿宋_GBK"/>
                <w:color w:val="000000"/>
                <w:kern w:val="0"/>
                <w:sz w:val="24"/>
                <w:szCs w:val="24"/>
              </w:rPr>
              <w:t>主管</w:t>
            </w:r>
          </w:p>
          <w:p w14:paraId="48F9818E">
            <w:pPr>
              <w:keepNext w:val="0"/>
              <w:keepLines w:val="0"/>
              <w:pageBreakBefore w:val="0"/>
              <w:widowControl/>
              <w:kinsoku/>
              <w:wordWrap/>
              <w:overflowPunct/>
              <w:topLinePunct w:val="0"/>
              <w:autoSpaceDE/>
              <w:autoSpaceDN/>
              <w:bidi w:val="0"/>
              <w:adjustRightInd/>
              <w:snapToGrid/>
              <w:spacing w:line="579" w:lineRule="exact"/>
              <w:jc w:val="center"/>
              <w:textAlignment w:val="auto"/>
              <w:rPr>
                <w:rFonts w:hint="eastAsia"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部门</w:t>
            </w:r>
          </w:p>
        </w:tc>
        <w:tc>
          <w:tcPr>
            <w:tcW w:w="1630" w:type="dxa"/>
            <w:gridSpan w:val="2"/>
            <w:tcBorders>
              <w:tl2br w:val="nil"/>
              <w:tr2bl w:val="nil"/>
            </w:tcBorders>
            <w:noWrap w:val="0"/>
            <w:vAlign w:val="center"/>
          </w:tcPr>
          <w:p w14:paraId="1D7E52E9">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105-重庆市江津区政务服务管理办公室</w:t>
            </w:r>
          </w:p>
        </w:tc>
        <w:tc>
          <w:tcPr>
            <w:tcW w:w="909" w:type="dxa"/>
            <w:tcBorders>
              <w:tl2br w:val="nil"/>
              <w:tr2bl w:val="nil"/>
            </w:tcBorders>
            <w:noWrap w:val="0"/>
            <w:vAlign w:val="center"/>
          </w:tcPr>
          <w:p w14:paraId="60FE36FA">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方正仿宋_GBK" w:cs="方正仿宋_GBK"/>
                <w:color w:val="000000"/>
                <w:kern w:val="0"/>
                <w:sz w:val="24"/>
                <w:szCs w:val="24"/>
                <w:lang w:val="en-US" w:eastAsia="zh-CN"/>
              </w:rPr>
            </w:pPr>
            <w:r>
              <w:rPr>
                <w:rFonts w:hint="eastAsia" w:ascii="宋体" w:hAnsi="宋体" w:eastAsia="方正仿宋_GBK" w:cs="方正仿宋_GBK"/>
                <w:color w:val="000000"/>
                <w:kern w:val="0"/>
                <w:sz w:val="24"/>
                <w:szCs w:val="24"/>
                <w:lang w:val="en-US" w:eastAsia="zh-CN"/>
              </w:rPr>
              <w:t>财政归口科室</w:t>
            </w:r>
          </w:p>
        </w:tc>
        <w:tc>
          <w:tcPr>
            <w:tcW w:w="1311" w:type="dxa"/>
            <w:tcBorders>
              <w:tl2br w:val="nil"/>
              <w:tr2bl w:val="nil"/>
            </w:tcBorders>
            <w:noWrap w:val="0"/>
            <w:vAlign w:val="center"/>
          </w:tcPr>
          <w:p w14:paraId="0604C001">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001-行政政法科</w:t>
            </w:r>
          </w:p>
        </w:tc>
        <w:tc>
          <w:tcPr>
            <w:tcW w:w="1616" w:type="dxa"/>
            <w:gridSpan w:val="2"/>
            <w:tcBorders>
              <w:tl2br w:val="nil"/>
              <w:tr2bl w:val="nil"/>
            </w:tcBorders>
            <w:noWrap w:val="0"/>
            <w:vAlign w:val="center"/>
          </w:tcPr>
          <w:p w14:paraId="46DA3B5F">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方正仿宋_GBK" w:cs="方正仿宋_GBK"/>
                <w:color w:val="000000"/>
                <w:kern w:val="0"/>
                <w:sz w:val="24"/>
                <w:szCs w:val="24"/>
                <w:lang w:val="en-US" w:eastAsia="zh-CN"/>
              </w:rPr>
            </w:pPr>
            <w:r>
              <w:rPr>
                <w:rFonts w:hint="eastAsia" w:ascii="宋体" w:hAnsi="宋体" w:eastAsia="方正仿宋_GBK" w:cs="方正仿宋_GBK"/>
                <w:color w:val="000000"/>
                <w:kern w:val="0"/>
                <w:sz w:val="24"/>
                <w:szCs w:val="24"/>
                <w:lang w:val="en-US" w:eastAsia="zh-CN"/>
              </w:rPr>
              <w:t>部门</w:t>
            </w:r>
          </w:p>
          <w:p w14:paraId="7EF6BE60">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联系人</w:t>
            </w:r>
          </w:p>
        </w:tc>
        <w:tc>
          <w:tcPr>
            <w:tcW w:w="831" w:type="dxa"/>
            <w:tcBorders>
              <w:tl2br w:val="nil"/>
              <w:tr2bl w:val="nil"/>
            </w:tcBorders>
            <w:noWrap w:val="0"/>
            <w:vAlign w:val="center"/>
          </w:tcPr>
          <w:p w14:paraId="14BFA431">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方正仿宋_GBK" w:cs="方正仿宋_GBK"/>
                <w:color w:val="000000"/>
                <w:kern w:val="0"/>
                <w:sz w:val="24"/>
                <w:szCs w:val="24"/>
                <w:lang w:val="en-US" w:eastAsia="zh-CN"/>
              </w:rPr>
            </w:pPr>
            <w:r>
              <w:rPr>
                <w:rFonts w:hint="eastAsia" w:ascii="宋体" w:hAnsi="宋体" w:eastAsia="方正仿宋_GBK" w:cs="方正仿宋_GBK"/>
                <w:color w:val="000000"/>
                <w:kern w:val="0"/>
                <w:sz w:val="24"/>
                <w:szCs w:val="24"/>
                <w:lang w:val="en-US" w:eastAsia="zh-CN"/>
              </w:rPr>
              <w:t>苏杨</w:t>
            </w:r>
          </w:p>
        </w:tc>
        <w:tc>
          <w:tcPr>
            <w:tcW w:w="916" w:type="dxa"/>
            <w:tcBorders>
              <w:tl2br w:val="nil"/>
              <w:tr2bl w:val="nil"/>
            </w:tcBorders>
            <w:noWrap w:val="0"/>
            <w:vAlign w:val="center"/>
          </w:tcPr>
          <w:p w14:paraId="4CF118F5">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联系电话</w:t>
            </w:r>
          </w:p>
        </w:tc>
        <w:tc>
          <w:tcPr>
            <w:tcW w:w="2072" w:type="dxa"/>
            <w:gridSpan w:val="2"/>
            <w:tcBorders>
              <w:tl2br w:val="nil"/>
              <w:tr2bl w:val="nil"/>
            </w:tcBorders>
            <w:noWrap w:val="0"/>
            <w:vAlign w:val="center"/>
          </w:tcPr>
          <w:p w14:paraId="572A687D">
            <w:pPr>
              <w:keepNext w:val="0"/>
              <w:keepLines w:val="0"/>
              <w:pageBreakBefore w:val="0"/>
              <w:widowControl/>
              <w:kinsoku/>
              <w:wordWrap/>
              <w:overflowPunct/>
              <w:topLinePunct w:val="0"/>
              <w:autoSpaceDE/>
              <w:autoSpaceDN/>
              <w:bidi w:val="0"/>
              <w:adjustRightInd/>
              <w:snapToGrid/>
              <w:spacing w:line="400" w:lineRule="exact"/>
              <w:textAlignment w:val="auto"/>
              <w:rPr>
                <w:rFonts w:hint="default" w:ascii="宋体" w:hAnsi="宋体" w:eastAsia="方正仿宋_GBK" w:cs="方正仿宋_GBK"/>
                <w:color w:val="000000"/>
                <w:kern w:val="0"/>
                <w:sz w:val="24"/>
                <w:szCs w:val="24"/>
                <w:lang w:val="en-US" w:eastAsia="zh-CN"/>
              </w:rPr>
            </w:pPr>
            <w:r>
              <w:rPr>
                <w:rFonts w:hint="eastAsia" w:ascii="宋体" w:hAnsi="宋体" w:eastAsia="方正仿宋_GBK" w:cs="方正仿宋_GBK"/>
                <w:color w:val="000000"/>
                <w:kern w:val="0"/>
                <w:sz w:val="24"/>
                <w:szCs w:val="24"/>
                <w:lang w:val="en-US" w:eastAsia="zh-CN"/>
              </w:rPr>
              <w:t>18102320332</w:t>
            </w:r>
          </w:p>
        </w:tc>
      </w:tr>
      <w:tr w14:paraId="365CD3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9" w:hRule="atLeast"/>
          <w:jc w:val="center"/>
        </w:trPr>
        <w:tc>
          <w:tcPr>
            <w:tcW w:w="847" w:type="dxa"/>
            <w:vMerge w:val="restart"/>
            <w:tcBorders>
              <w:tl2br w:val="nil"/>
              <w:tr2bl w:val="nil"/>
            </w:tcBorders>
            <w:noWrap w:val="0"/>
            <w:textDirection w:val="tbRlV"/>
            <w:vAlign w:val="center"/>
          </w:tcPr>
          <w:p w14:paraId="48185FDA">
            <w:pPr>
              <w:keepNext w:val="0"/>
              <w:keepLines w:val="0"/>
              <w:pageBreakBefore w:val="0"/>
              <w:widowControl/>
              <w:kinsoku/>
              <w:wordWrap/>
              <w:overflowPunct/>
              <w:topLinePunct w:val="0"/>
              <w:autoSpaceDN/>
              <w:bidi w:val="0"/>
              <w:snapToGrid/>
              <w:spacing w:line="579" w:lineRule="exact"/>
              <w:ind w:left="113" w:right="113"/>
              <w:jc w:val="center"/>
              <w:textAlignment w:val="auto"/>
              <w:rPr>
                <w:rFonts w:hint="eastAsia"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项目资金（万元）</w:t>
            </w:r>
          </w:p>
        </w:tc>
        <w:tc>
          <w:tcPr>
            <w:tcW w:w="1630" w:type="dxa"/>
            <w:gridSpan w:val="2"/>
            <w:vMerge w:val="restart"/>
            <w:tcBorders>
              <w:tl2br w:val="nil"/>
              <w:tr2bl w:val="nil"/>
            </w:tcBorders>
            <w:noWrap w:val="0"/>
            <w:vAlign w:val="center"/>
          </w:tcPr>
          <w:p w14:paraId="78E746ED">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年度总金额</w:t>
            </w:r>
          </w:p>
        </w:tc>
        <w:tc>
          <w:tcPr>
            <w:tcW w:w="909" w:type="dxa"/>
            <w:tcBorders>
              <w:tl2br w:val="nil"/>
              <w:tr2bl w:val="nil"/>
            </w:tcBorders>
            <w:noWrap w:val="0"/>
            <w:vAlign w:val="center"/>
          </w:tcPr>
          <w:p w14:paraId="1E9AA673">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年初</w:t>
            </w:r>
          </w:p>
          <w:p w14:paraId="31D425DC">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预算数</w:t>
            </w:r>
          </w:p>
        </w:tc>
        <w:tc>
          <w:tcPr>
            <w:tcW w:w="1311" w:type="dxa"/>
            <w:tcBorders>
              <w:tl2br w:val="nil"/>
              <w:tr2bl w:val="nil"/>
            </w:tcBorders>
            <w:noWrap w:val="0"/>
            <w:vAlign w:val="center"/>
          </w:tcPr>
          <w:p w14:paraId="2F6C26F2">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方正仿宋_GBK" w:cs="方正仿宋_GBK"/>
                <w:color w:val="000000"/>
                <w:kern w:val="0"/>
                <w:sz w:val="24"/>
                <w:szCs w:val="24"/>
                <w:lang w:val="en-US" w:eastAsia="zh-CN"/>
              </w:rPr>
            </w:pPr>
            <w:r>
              <w:rPr>
                <w:rFonts w:hint="eastAsia" w:ascii="宋体" w:hAnsi="宋体" w:eastAsia="方正仿宋_GBK" w:cs="方正仿宋_GBK"/>
                <w:color w:val="000000"/>
                <w:kern w:val="0"/>
                <w:sz w:val="24"/>
                <w:szCs w:val="24"/>
                <w:lang w:val="en-US" w:eastAsia="zh-CN"/>
              </w:rPr>
              <w:t>全年（调整）预算数</w:t>
            </w:r>
          </w:p>
        </w:tc>
        <w:tc>
          <w:tcPr>
            <w:tcW w:w="2447" w:type="dxa"/>
            <w:gridSpan w:val="3"/>
            <w:tcBorders>
              <w:tl2br w:val="nil"/>
              <w:tr2bl w:val="nil"/>
            </w:tcBorders>
            <w:noWrap w:val="0"/>
            <w:vAlign w:val="center"/>
          </w:tcPr>
          <w:p w14:paraId="39240918">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全年执行数</w:t>
            </w:r>
          </w:p>
        </w:tc>
        <w:tc>
          <w:tcPr>
            <w:tcW w:w="916" w:type="dxa"/>
            <w:tcBorders>
              <w:tl2br w:val="nil"/>
              <w:tr2bl w:val="nil"/>
            </w:tcBorders>
            <w:noWrap w:val="0"/>
            <w:vAlign w:val="center"/>
          </w:tcPr>
          <w:p w14:paraId="4674ABF2">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执行率</w:t>
            </w:r>
          </w:p>
          <w:p w14:paraId="7786493D">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w:t>
            </w:r>
          </w:p>
        </w:tc>
        <w:tc>
          <w:tcPr>
            <w:tcW w:w="803" w:type="dxa"/>
            <w:tcBorders>
              <w:tl2br w:val="nil"/>
              <w:tr2bl w:val="nil"/>
            </w:tcBorders>
            <w:noWrap w:val="0"/>
            <w:vAlign w:val="center"/>
          </w:tcPr>
          <w:p w14:paraId="2ABF5C72">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执行率</w:t>
            </w:r>
          </w:p>
          <w:p w14:paraId="346CB957">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权重</w:t>
            </w:r>
          </w:p>
        </w:tc>
        <w:tc>
          <w:tcPr>
            <w:tcW w:w="1269" w:type="dxa"/>
            <w:tcBorders>
              <w:tl2br w:val="nil"/>
              <w:tr2bl w:val="nil"/>
            </w:tcBorders>
            <w:noWrap w:val="0"/>
            <w:vAlign w:val="center"/>
          </w:tcPr>
          <w:p w14:paraId="2362F2EB">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执行率</w:t>
            </w:r>
          </w:p>
          <w:p w14:paraId="74734D56">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得分</w:t>
            </w:r>
          </w:p>
          <w:p w14:paraId="65DE6E5B">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（分）</w:t>
            </w:r>
          </w:p>
        </w:tc>
      </w:tr>
      <w:tr w14:paraId="6CE3EC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847" w:type="dxa"/>
            <w:vMerge w:val="continue"/>
            <w:tcBorders>
              <w:tl2br w:val="nil"/>
              <w:tr2bl w:val="nil"/>
            </w:tcBorders>
            <w:noWrap w:val="0"/>
            <w:vAlign w:val="center"/>
          </w:tcPr>
          <w:p w14:paraId="2A6F9983">
            <w:pPr>
              <w:keepNext w:val="0"/>
              <w:keepLines w:val="0"/>
              <w:pageBreakBefore w:val="0"/>
              <w:widowControl/>
              <w:kinsoku/>
              <w:wordWrap/>
              <w:overflowPunct/>
              <w:topLinePunct w:val="0"/>
              <w:autoSpaceDN/>
              <w:bidi w:val="0"/>
              <w:snapToGrid/>
              <w:spacing w:line="579" w:lineRule="exact"/>
              <w:textAlignment w:val="auto"/>
              <w:rPr>
                <w:rFonts w:hint="eastAsia" w:ascii="宋体" w:hAnsi="宋体" w:eastAsia="方正仿宋_GBK" w:cs="方正仿宋_GBK"/>
                <w:color w:val="000000"/>
                <w:kern w:val="0"/>
                <w:sz w:val="24"/>
                <w:szCs w:val="24"/>
              </w:rPr>
            </w:pPr>
          </w:p>
        </w:tc>
        <w:tc>
          <w:tcPr>
            <w:tcW w:w="1630" w:type="dxa"/>
            <w:gridSpan w:val="2"/>
            <w:vMerge w:val="continue"/>
            <w:tcBorders>
              <w:tl2br w:val="nil"/>
              <w:tr2bl w:val="nil"/>
            </w:tcBorders>
            <w:noWrap w:val="0"/>
            <w:vAlign w:val="center"/>
          </w:tcPr>
          <w:p w14:paraId="4022EF17">
            <w:pPr>
              <w:keepNext w:val="0"/>
              <w:keepLines w:val="0"/>
              <w:pageBreakBefore w:val="0"/>
              <w:kinsoku/>
              <w:wordWrap/>
              <w:overflowPunct/>
              <w:topLinePunct w:val="0"/>
              <w:autoSpaceDN/>
              <w:bidi w:val="0"/>
              <w:snapToGrid/>
              <w:spacing w:line="579" w:lineRule="exact"/>
              <w:jc w:val="center"/>
              <w:textAlignment w:val="auto"/>
              <w:rPr>
                <w:rFonts w:hint="eastAsia" w:ascii="宋体" w:hAnsi="宋体" w:eastAsia="方正仿宋_GBK" w:cs="方正仿宋_GBK"/>
                <w:color w:val="000000"/>
                <w:kern w:val="0"/>
                <w:sz w:val="24"/>
                <w:szCs w:val="24"/>
              </w:rPr>
            </w:pPr>
          </w:p>
        </w:tc>
        <w:tc>
          <w:tcPr>
            <w:tcW w:w="909" w:type="dxa"/>
            <w:tcBorders>
              <w:tl2br w:val="nil"/>
              <w:tr2bl w:val="nil"/>
            </w:tcBorders>
            <w:noWrap w:val="0"/>
            <w:vAlign w:val="center"/>
          </w:tcPr>
          <w:p w14:paraId="2C0DA613">
            <w:pPr>
              <w:keepNext w:val="0"/>
              <w:keepLines w:val="0"/>
              <w:pageBreakBefore w:val="0"/>
              <w:widowControl/>
              <w:kinsoku/>
              <w:wordWrap/>
              <w:overflowPunct/>
              <w:topLinePunct w:val="0"/>
              <w:autoSpaceDN/>
              <w:bidi w:val="0"/>
              <w:snapToGrid/>
              <w:spacing w:line="579" w:lineRule="exact"/>
              <w:jc w:val="center"/>
              <w:textAlignment w:val="auto"/>
              <w:rPr>
                <w:rFonts w:hint="default" w:ascii="宋体" w:hAnsi="宋体" w:eastAsia="方正仿宋_GBK" w:cs="方正仿宋_GBK"/>
                <w:color w:val="000000"/>
                <w:kern w:val="0"/>
                <w:sz w:val="19"/>
                <w:szCs w:val="19"/>
                <w:lang w:val="en-US" w:eastAsia="zh-CN"/>
              </w:rPr>
            </w:pPr>
            <w:r>
              <w:rPr>
                <w:rFonts w:hint="eastAsia" w:ascii="宋体" w:hAnsi="宋体" w:eastAsia="方正仿宋_GBK" w:cs="方正仿宋_GBK"/>
                <w:color w:val="000000"/>
                <w:kern w:val="0"/>
                <w:sz w:val="19"/>
                <w:szCs w:val="19"/>
                <w:lang w:val="en-US" w:eastAsia="zh-CN"/>
              </w:rPr>
              <w:t>3454.53</w:t>
            </w:r>
          </w:p>
        </w:tc>
        <w:tc>
          <w:tcPr>
            <w:tcW w:w="1311" w:type="dxa"/>
            <w:tcBorders>
              <w:tl2br w:val="nil"/>
              <w:tr2bl w:val="nil"/>
            </w:tcBorders>
            <w:noWrap w:val="0"/>
            <w:vAlign w:val="center"/>
          </w:tcPr>
          <w:p w14:paraId="576A87A5">
            <w:pPr>
              <w:keepNext w:val="0"/>
              <w:keepLines w:val="0"/>
              <w:pageBreakBefore w:val="0"/>
              <w:widowControl/>
              <w:kinsoku/>
              <w:wordWrap/>
              <w:overflowPunct/>
              <w:topLinePunct w:val="0"/>
              <w:autoSpaceDN/>
              <w:bidi w:val="0"/>
              <w:snapToGrid/>
              <w:spacing w:line="579" w:lineRule="exact"/>
              <w:jc w:val="center"/>
              <w:textAlignment w:val="auto"/>
              <w:rPr>
                <w:rFonts w:hint="default" w:ascii="宋体" w:hAnsi="宋体" w:eastAsia="方正仿宋_GBK" w:cs="方正仿宋_GBK"/>
                <w:color w:val="000000"/>
                <w:kern w:val="0"/>
                <w:sz w:val="24"/>
                <w:szCs w:val="24"/>
                <w:lang w:val="en-US" w:eastAsia="zh-CN"/>
              </w:rPr>
            </w:pPr>
            <w:r>
              <w:rPr>
                <w:rFonts w:hint="eastAsia" w:ascii="宋体" w:hAnsi="宋体" w:eastAsia="方正仿宋_GBK" w:cs="方正仿宋_GBK"/>
                <w:color w:val="000000"/>
                <w:kern w:val="0"/>
                <w:sz w:val="24"/>
                <w:szCs w:val="24"/>
                <w:lang w:val="en-US" w:eastAsia="zh-CN"/>
              </w:rPr>
              <w:t>3027.50</w:t>
            </w:r>
          </w:p>
        </w:tc>
        <w:tc>
          <w:tcPr>
            <w:tcW w:w="2447" w:type="dxa"/>
            <w:gridSpan w:val="3"/>
            <w:tcBorders>
              <w:tl2br w:val="nil"/>
              <w:tr2bl w:val="nil"/>
            </w:tcBorders>
            <w:noWrap w:val="0"/>
            <w:vAlign w:val="center"/>
          </w:tcPr>
          <w:p w14:paraId="13B089A0">
            <w:pPr>
              <w:keepNext w:val="0"/>
              <w:keepLines w:val="0"/>
              <w:pageBreakBefore w:val="0"/>
              <w:widowControl/>
              <w:kinsoku/>
              <w:wordWrap/>
              <w:overflowPunct/>
              <w:topLinePunct w:val="0"/>
              <w:autoSpaceDN/>
              <w:bidi w:val="0"/>
              <w:snapToGrid/>
              <w:spacing w:line="579" w:lineRule="exact"/>
              <w:jc w:val="center"/>
              <w:textAlignment w:val="auto"/>
              <w:rPr>
                <w:rFonts w:hint="default" w:ascii="宋体" w:hAnsi="宋体" w:eastAsia="方正仿宋_GBK" w:cs="方正仿宋_GBK"/>
                <w:color w:val="000000"/>
                <w:kern w:val="0"/>
                <w:sz w:val="24"/>
                <w:szCs w:val="24"/>
                <w:lang w:val="en-US" w:eastAsia="zh-CN"/>
              </w:rPr>
            </w:pPr>
            <w:r>
              <w:rPr>
                <w:rFonts w:hint="eastAsia" w:ascii="宋体" w:hAnsi="宋体" w:eastAsia="方正仿宋_GBK" w:cs="方正仿宋_GBK"/>
                <w:color w:val="000000"/>
                <w:kern w:val="0"/>
                <w:sz w:val="24"/>
                <w:szCs w:val="24"/>
                <w:lang w:val="en-US" w:eastAsia="zh-CN"/>
              </w:rPr>
              <w:t>3027.50</w:t>
            </w:r>
          </w:p>
        </w:tc>
        <w:tc>
          <w:tcPr>
            <w:tcW w:w="916" w:type="dxa"/>
            <w:tcBorders>
              <w:tl2br w:val="nil"/>
              <w:tr2bl w:val="nil"/>
            </w:tcBorders>
            <w:noWrap w:val="0"/>
            <w:vAlign w:val="center"/>
          </w:tcPr>
          <w:p w14:paraId="61CD9B10">
            <w:pPr>
              <w:keepNext w:val="0"/>
              <w:keepLines w:val="0"/>
              <w:pageBreakBefore w:val="0"/>
              <w:widowControl/>
              <w:kinsoku/>
              <w:wordWrap/>
              <w:overflowPunct/>
              <w:topLinePunct w:val="0"/>
              <w:autoSpaceDN/>
              <w:bidi w:val="0"/>
              <w:snapToGrid/>
              <w:spacing w:line="579" w:lineRule="exact"/>
              <w:jc w:val="center"/>
              <w:textAlignment w:val="auto"/>
              <w:rPr>
                <w:rFonts w:hint="eastAsia" w:ascii="宋体" w:hAnsi="宋体" w:eastAsia="方正仿宋_GBK" w:cs="方正仿宋_GBK"/>
                <w:color w:val="000000"/>
                <w:kern w:val="0"/>
                <w:sz w:val="24"/>
                <w:szCs w:val="24"/>
                <w:lang w:val="en-US" w:eastAsia="zh-CN"/>
              </w:rPr>
            </w:pPr>
          </w:p>
        </w:tc>
        <w:tc>
          <w:tcPr>
            <w:tcW w:w="803" w:type="dxa"/>
            <w:tcBorders>
              <w:tl2br w:val="nil"/>
              <w:tr2bl w:val="nil"/>
            </w:tcBorders>
            <w:noWrap w:val="0"/>
            <w:vAlign w:val="center"/>
          </w:tcPr>
          <w:p w14:paraId="1095022D">
            <w:pPr>
              <w:keepNext w:val="0"/>
              <w:keepLines w:val="0"/>
              <w:pageBreakBefore w:val="0"/>
              <w:widowControl/>
              <w:kinsoku/>
              <w:wordWrap/>
              <w:overflowPunct/>
              <w:topLinePunct w:val="0"/>
              <w:autoSpaceDN/>
              <w:bidi w:val="0"/>
              <w:snapToGrid/>
              <w:spacing w:line="579" w:lineRule="exact"/>
              <w:jc w:val="center"/>
              <w:textAlignment w:val="auto"/>
              <w:rPr>
                <w:rFonts w:hint="eastAsia" w:ascii="宋体" w:hAnsi="宋体" w:eastAsia="方正仿宋_GBK" w:cs="方正仿宋_GBK"/>
                <w:kern w:val="0"/>
                <w:sz w:val="24"/>
                <w:szCs w:val="24"/>
              </w:rPr>
            </w:pPr>
          </w:p>
        </w:tc>
        <w:tc>
          <w:tcPr>
            <w:tcW w:w="1269" w:type="dxa"/>
            <w:tcBorders>
              <w:tl2br w:val="nil"/>
              <w:tr2bl w:val="nil"/>
            </w:tcBorders>
            <w:noWrap w:val="0"/>
            <w:vAlign w:val="center"/>
          </w:tcPr>
          <w:p w14:paraId="57B09F4B">
            <w:pPr>
              <w:keepNext w:val="0"/>
              <w:keepLines w:val="0"/>
              <w:pageBreakBefore w:val="0"/>
              <w:widowControl/>
              <w:kinsoku/>
              <w:wordWrap/>
              <w:overflowPunct/>
              <w:topLinePunct w:val="0"/>
              <w:autoSpaceDN/>
              <w:bidi w:val="0"/>
              <w:snapToGrid/>
              <w:spacing w:line="579" w:lineRule="exact"/>
              <w:jc w:val="center"/>
              <w:textAlignment w:val="auto"/>
              <w:rPr>
                <w:rFonts w:hint="eastAsia" w:ascii="宋体" w:hAnsi="宋体" w:eastAsia="方正仿宋_GBK" w:cs="方正仿宋_GBK"/>
                <w:color w:val="000000"/>
                <w:kern w:val="0"/>
                <w:sz w:val="24"/>
                <w:szCs w:val="24"/>
              </w:rPr>
            </w:pPr>
          </w:p>
        </w:tc>
      </w:tr>
      <w:tr w14:paraId="3EE78C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847" w:type="dxa"/>
            <w:vMerge w:val="continue"/>
            <w:tcBorders>
              <w:tl2br w:val="nil"/>
              <w:tr2bl w:val="nil"/>
            </w:tcBorders>
            <w:noWrap w:val="0"/>
            <w:vAlign w:val="center"/>
          </w:tcPr>
          <w:p w14:paraId="0B69DCD2">
            <w:pPr>
              <w:keepNext w:val="0"/>
              <w:keepLines w:val="0"/>
              <w:pageBreakBefore w:val="0"/>
              <w:widowControl/>
              <w:kinsoku/>
              <w:wordWrap/>
              <w:overflowPunct/>
              <w:topLinePunct w:val="0"/>
              <w:autoSpaceDN/>
              <w:bidi w:val="0"/>
              <w:snapToGrid/>
              <w:spacing w:line="579" w:lineRule="exact"/>
              <w:textAlignment w:val="auto"/>
              <w:rPr>
                <w:rFonts w:hint="eastAsia" w:ascii="宋体" w:hAnsi="宋体" w:eastAsia="方正仿宋_GBK" w:cs="方正仿宋_GBK"/>
                <w:color w:val="000000"/>
                <w:kern w:val="0"/>
                <w:sz w:val="24"/>
                <w:szCs w:val="24"/>
              </w:rPr>
            </w:pPr>
          </w:p>
        </w:tc>
        <w:tc>
          <w:tcPr>
            <w:tcW w:w="1630" w:type="dxa"/>
            <w:gridSpan w:val="2"/>
            <w:tcBorders>
              <w:tl2br w:val="nil"/>
              <w:tr2bl w:val="nil"/>
            </w:tcBorders>
            <w:noWrap w:val="0"/>
            <w:vAlign w:val="center"/>
          </w:tcPr>
          <w:p w14:paraId="79FC6EF0">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其中：</w:t>
            </w:r>
          </w:p>
          <w:p w14:paraId="36B60028">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宋体" w:hAnsi="宋体" w:eastAsia="方正仿宋_GBK" w:cs="方正仿宋_GBK"/>
                <w:color w:val="000000"/>
                <w:kern w:val="0"/>
                <w:sz w:val="24"/>
                <w:szCs w:val="24"/>
                <w:lang w:val="en-US" w:eastAsia="zh-CN"/>
              </w:rPr>
            </w:pPr>
            <w:r>
              <w:rPr>
                <w:rFonts w:hint="eastAsia" w:ascii="宋体" w:hAnsi="宋体" w:eastAsia="方正仿宋_GBK" w:cs="方正仿宋_GBK"/>
                <w:color w:val="000000"/>
                <w:kern w:val="0"/>
                <w:sz w:val="24"/>
                <w:szCs w:val="24"/>
                <w:lang w:val="en-US" w:eastAsia="zh-CN"/>
              </w:rPr>
              <w:t>财政拨款</w:t>
            </w:r>
          </w:p>
        </w:tc>
        <w:tc>
          <w:tcPr>
            <w:tcW w:w="909" w:type="dxa"/>
            <w:tcBorders>
              <w:tl2br w:val="nil"/>
              <w:tr2bl w:val="nil"/>
            </w:tcBorders>
            <w:noWrap w:val="0"/>
            <w:vAlign w:val="center"/>
          </w:tcPr>
          <w:p w14:paraId="30DA0F5F">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宋体" w:hAnsi="宋体" w:eastAsia="方正仿宋_GBK" w:cs="方正仿宋_GBK"/>
                <w:color w:val="000000"/>
                <w:kern w:val="0"/>
                <w:sz w:val="19"/>
                <w:szCs w:val="19"/>
                <w:lang w:val="en-US" w:eastAsia="zh-CN"/>
              </w:rPr>
            </w:pPr>
            <w:r>
              <w:rPr>
                <w:rFonts w:hint="eastAsia" w:ascii="宋体" w:hAnsi="宋体" w:eastAsia="方正仿宋_GBK" w:cs="方正仿宋_GBK"/>
                <w:color w:val="000000"/>
                <w:kern w:val="0"/>
                <w:sz w:val="19"/>
                <w:szCs w:val="19"/>
                <w:lang w:val="en-US" w:eastAsia="zh-CN"/>
              </w:rPr>
              <w:t>3454.53</w:t>
            </w:r>
          </w:p>
        </w:tc>
        <w:tc>
          <w:tcPr>
            <w:tcW w:w="1311" w:type="dxa"/>
            <w:tcBorders>
              <w:tl2br w:val="nil"/>
              <w:tr2bl w:val="nil"/>
            </w:tcBorders>
            <w:noWrap w:val="0"/>
            <w:vAlign w:val="center"/>
          </w:tcPr>
          <w:p w14:paraId="2928349D">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宋体" w:hAnsi="宋体" w:eastAsia="方正仿宋_GBK" w:cs="方正仿宋_GBK"/>
                <w:color w:val="000000"/>
                <w:kern w:val="0"/>
                <w:sz w:val="24"/>
                <w:szCs w:val="24"/>
                <w:lang w:val="en-US" w:eastAsia="zh-CN"/>
              </w:rPr>
            </w:pPr>
            <w:r>
              <w:rPr>
                <w:rFonts w:hint="eastAsia" w:ascii="宋体" w:hAnsi="宋体" w:eastAsia="方正仿宋_GBK" w:cs="方正仿宋_GBK"/>
                <w:color w:val="000000"/>
                <w:kern w:val="0"/>
                <w:sz w:val="24"/>
                <w:szCs w:val="24"/>
                <w:lang w:val="en-US" w:eastAsia="zh-CN"/>
              </w:rPr>
              <w:t>3027.50</w:t>
            </w:r>
          </w:p>
        </w:tc>
        <w:tc>
          <w:tcPr>
            <w:tcW w:w="2447" w:type="dxa"/>
            <w:gridSpan w:val="3"/>
            <w:tcBorders>
              <w:tl2br w:val="nil"/>
              <w:tr2bl w:val="nil"/>
            </w:tcBorders>
            <w:noWrap w:val="0"/>
            <w:vAlign w:val="center"/>
          </w:tcPr>
          <w:p w14:paraId="6EEE6424">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宋体" w:hAnsi="宋体" w:eastAsia="方正仿宋_GBK" w:cs="方正仿宋_GBK"/>
                <w:color w:val="000000"/>
                <w:kern w:val="0"/>
                <w:sz w:val="24"/>
                <w:szCs w:val="24"/>
                <w:lang w:val="en-US" w:eastAsia="zh-CN"/>
              </w:rPr>
            </w:pPr>
            <w:r>
              <w:rPr>
                <w:rFonts w:hint="eastAsia" w:ascii="宋体" w:hAnsi="宋体" w:eastAsia="方正仿宋_GBK" w:cs="方正仿宋_GBK"/>
                <w:color w:val="000000"/>
                <w:kern w:val="0"/>
                <w:sz w:val="24"/>
                <w:szCs w:val="24"/>
                <w:lang w:val="en-US" w:eastAsia="zh-CN"/>
              </w:rPr>
              <w:t>3027.50</w:t>
            </w:r>
          </w:p>
        </w:tc>
        <w:tc>
          <w:tcPr>
            <w:tcW w:w="916" w:type="dxa"/>
            <w:tcBorders>
              <w:tl2br w:val="nil"/>
              <w:tr2bl w:val="nil"/>
            </w:tcBorders>
            <w:noWrap w:val="0"/>
            <w:vAlign w:val="center"/>
          </w:tcPr>
          <w:p w14:paraId="712A92F3">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宋体" w:hAnsi="宋体" w:eastAsia="方正仿宋_GBK" w:cs="方正仿宋_GBK"/>
                <w:color w:val="000000"/>
                <w:kern w:val="0"/>
                <w:sz w:val="24"/>
                <w:szCs w:val="24"/>
                <w:lang w:val="en-US" w:eastAsia="zh-CN"/>
              </w:rPr>
            </w:pPr>
            <w:r>
              <w:rPr>
                <w:rFonts w:hint="eastAsia" w:ascii="宋体" w:hAnsi="宋体" w:eastAsia="方正仿宋_GBK" w:cs="方正仿宋_GBK"/>
                <w:color w:val="000000"/>
                <w:kern w:val="0"/>
                <w:sz w:val="24"/>
                <w:szCs w:val="24"/>
                <w:lang w:val="en-US" w:eastAsia="zh-CN"/>
              </w:rPr>
              <w:t>100</w:t>
            </w:r>
          </w:p>
        </w:tc>
        <w:tc>
          <w:tcPr>
            <w:tcW w:w="803" w:type="dxa"/>
            <w:tcBorders>
              <w:tl2br w:val="nil"/>
              <w:tr2bl w:val="nil"/>
            </w:tcBorders>
            <w:noWrap w:val="0"/>
            <w:vAlign w:val="center"/>
          </w:tcPr>
          <w:p w14:paraId="107254D8">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宋体" w:hAnsi="宋体" w:eastAsia="方正仿宋_GBK" w:cs="方正仿宋_GBK"/>
                <w:color w:val="000000"/>
                <w:kern w:val="0"/>
                <w:sz w:val="24"/>
                <w:szCs w:val="24"/>
                <w:lang w:val="en-US" w:eastAsia="zh-CN"/>
              </w:rPr>
            </w:pPr>
            <w:r>
              <w:rPr>
                <w:rFonts w:hint="eastAsia" w:ascii="宋体" w:hAnsi="宋体" w:eastAsia="方正仿宋_GBK" w:cs="方正仿宋_GBK"/>
                <w:color w:val="000000"/>
                <w:kern w:val="0"/>
                <w:sz w:val="24"/>
                <w:szCs w:val="24"/>
                <w:lang w:val="en-US" w:eastAsia="zh-CN"/>
              </w:rPr>
              <w:t>10</w:t>
            </w:r>
          </w:p>
        </w:tc>
        <w:tc>
          <w:tcPr>
            <w:tcW w:w="1269" w:type="dxa"/>
            <w:tcBorders>
              <w:tl2br w:val="nil"/>
              <w:tr2bl w:val="nil"/>
            </w:tcBorders>
            <w:noWrap w:val="0"/>
            <w:vAlign w:val="center"/>
          </w:tcPr>
          <w:p w14:paraId="1C356E99">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宋体" w:hAnsi="宋体" w:eastAsia="方正仿宋_GBK" w:cs="方正仿宋_GBK"/>
                <w:color w:val="000000"/>
                <w:kern w:val="0"/>
                <w:sz w:val="24"/>
                <w:szCs w:val="24"/>
                <w:lang w:val="en-US" w:eastAsia="zh-CN"/>
              </w:rPr>
            </w:pPr>
            <w:r>
              <w:rPr>
                <w:rFonts w:hint="eastAsia" w:ascii="宋体" w:hAnsi="宋体" w:eastAsia="方正仿宋_GBK" w:cs="方正仿宋_GBK"/>
                <w:color w:val="000000"/>
                <w:kern w:val="0"/>
                <w:sz w:val="24"/>
                <w:szCs w:val="24"/>
                <w:lang w:val="en-US" w:eastAsia="zh-CN"/>
              </w:rPr>
              <w:t>10</w:t>
            </w:r>
          </w:p>
        </w:tc>
      </w:tr>
      <w:tr w14:paraId="18C2B8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847" w:type="dxa"/>
            <w:vMerge w:val="restart"/>
            <w:tcBorders>
              <w:tl2br w:val="nil"/>
              <w:tr2bl w:val="nil"/>
            </w:tcBorders>
            <w:noWrap w:val="0"/>
            <w:vAlign w:val="center"/>
          </w:tcPr>
          <w:p w14:paraId="0208120D">
            <w:pPr>
              <w:keepNext w:val="0"/>
              <w:keepLines w:val="0"/>
              <w:pageBreakBefore w:val="0"/>
              <w:widowControl/>
              <w:kinsoku/>
              <w:wordWrap/>
              <w:overflowPunct/>
              <w:topLinePunct w:val="0"/>
              <w:autoSpaceDN/>
              <w:bidi w:val="0"/>
              <w:snapToGrid/>
              <w:spacing w:line="579" w:lineRule="exact"/>
              <w:textAlignment w:val="auto"/>
              <w:rPr>
                <w:rFonts w:hint="eastAsia"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当年绩效目</w:t>
            </w:r>
            <w:r>
              <w:rPr>
                <w:rFonts w:hint="eastAsia" w:ascii="宋体" w:hAnsi="宋体" w:eastAsia="方正仿宋_GBK" w:cs="方正仿宋_GBK"/>
                <w:color w:val="000000"/>
                <w:kern w:val="0"/>
                <w:sz w:val="24"/>
                <w:szCs w:val="24"/>
                <w:lang w:val="en-US" w:eastAsia="zh-CN"/>
              </w:rPr>
              <w:t xml:space="preserve"> </w:t>
            </w:r>
            <w:r>
              <w:rPr>
                <w:rFonts w:hint="eastAsia" w:ascii="宋体" w:hAnsi="宋体" w:eastAsia="方正仿宋_GBK" w:cs="方正仿宋_GBK"/>
                <w:color w:val="000000"/>
                <w:kern w:val="0"/>
                <w:sz w:val="24"/>
                <w:szCs w:val="24"/>
              </w:rPr>
              <w:t>标</w:t>
            </w:r>
          </w:p>
        </w:tc>
        <w:tc>
          <w:tcPr>
            <w:tcW w:w="3850" w:type="dxa"/>
            <w:gridSpan w:val="4"/>
            <w:tcBorders>
              <w:tl2br w:val="nil"/>
              <w:tr2bl w:val="nil"/>
            </w:tcBorders>
            <w:noWrap w:val="0"/>
            <w:vAlign w:val="center"/>
          </w:tcPr>
          <w:p w14:paraId="65C80507">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年初绩效目标</w:t>
            </w:r>
          </w:p>
        </w:tc>
        <w:tc>
          <w:tcPr>
            <w:tcW w:w="2447" w:type="dxa"/>
            <w:gridSpan w:val="3"/>
            <w:tcBorders>
              <w:tl2br w:val="nil"/>
              <w:tr2bl w:val="nil"/>
            </w:tcBorders>
            <w:noWrap w:val="0"/>
            <w:vAlign w:val="center"/>
          </w:tcPr>
          <w:p w14:paraId="4A3EA5DC">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全年（调整）绩效目标</w:t>
            </w:r>
          </w:p>
        </w:tc>
        <w:tc>
          <w:tcPr>
            <w:tcW w:w="2988" w:type="dxa"/>
            <w:gridSpan w:val="3"/>
            <w:tcBorders>
              <w:tl2br w:val="nil"/>
              <w:tr2bl w:val="nil"/>
            </w:tcBorders>
            <w:noWrap w:val="0"/>
            <w:vAlign w:val="center"/>
          </w:tcPr>
          <w:p w14:paraId="2B49453F">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全年目标实际完成情况</w:t>
            </w:r>
          </w:p>
        </w:tc>
      </w:tr>
      <w:tr w14:paraId="691468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0" w:hRule="atLeast"/>
          <w:jc w:val="center"/>
        </w:trPr>
        <w:tc>
          <w:tcPr>
            <w:tcW w:w="847" w:type="dxa"/>
            <w:vMerge w:val="continue"/>
            <w:tcBorders>
              <w:tl2br w:val="nil"/>
              <w:tr2bl w:val="nil"/>
            </w:tcBorders>
            <w:noWrap w:val="0"/>
            <w:vAlign w:val="center"/>
          </w:tcPr>
          <w:p w14:paraId="4349D719">
            <w:pPr>
              <w:keepNext w:val="0"/>
              <w:keepLines w:val="0"/>
              <w:pageBreakBefore w:val="0"/>
              <w:widowControl/>
              <w:kinsoku/>
              <w:wordWrap/>
              <w:overflowPunct/>
              <w:topLinePunct w:val="0"/>
              <w:autoSpaceDN/>
              <w:bidi w:val="0"/>
              <w:snapToGrid/>
              <w:spacing w:line="579" w:lineRule="exact"/>
              <w:textAlignment w:val="auto"/>
              <w:rPr>
                <w:rFonts w:hint="eastAsia" w:ascii="宋体" w:hAnsi="宋体" w:eastAsia="方正仿宋_GBK" w:cs="方正仿宋_GBK"/>
                <w:color w:val="000000"/>
                <w:kern w:val="0"/>
                <w:sz w:val="24"/>
                <w:szCs w:val="24"/>
              </w:rPr>
            </w:pPr>
          </w:p>
        </w:tc>
        <w:tc>
          <w:tcPr>
            <w:tcW w:w="3850" w:type="dxa"/>
            <w:gridSpan w:val="4"/>
            <w:tcBorders>
              <w:tl2br w:val="nil"/>
              <w:tr2bl w:val="nil"/>
            </w:tcBorders>
            <w:noWrap w:val="0"/>
            <w:vAlign w:val="center"/>
          </w:tcPr>
          <w:p w14:paraId="14899ACA">
            <w:pPr>
              <w:keepNext w:val="0"/>
              <w:keepLines w:val="0"/>
              <w:pageBreakBefore w:val="0"/>
              <w:widowControl/>
              <w:kinsoku/>
              <w:wordWrap/>
              <w:overflowPunct/>
              <w:topLinePunct w:val="0"/>
              <w:autoSpaceDE/>
              <w:autoSpaceDN/>
              <w:bidi w:val="0"/>
              <w:adjustRightInd/>
              <w:snapToGrid/>
              <w:spacing w:line="320" w:lineRule="exact"/>
              <w:ind w:firstLine="412" w:firstLineChars="200"/>
              <w:textAlignment w:val="auto"/>
              <w:rPr>
                <w:rFonts w:hint="eastAsia" w:ascii="宋体" w:hAnsi="宋体" w:eastAsia="方正仿宋_GBK" w:cs="方正仿宋_GBK"/>
                <w:color w:val="000000"/>
                <w:kern w:val="0"/>
                <w:sz w:val="21"/>
                <w:szCs w:val="21"/>
              </w:rPr>
            </w:pPr>
            <w:r>
              <w:rPr>
                <w:rFonts w:hint="eastAsia" w:ascii="宋体" w:hAnsi="宋体" w:eastAsia="方正仿宋_GBK" w:cs="方正仿宋_GBK"/>
                <w:color w:val="000000"/>
                <w:kern w:val="0"/>
                <w:sz w:val="21"/>
                <w:szCs w:val="21"/>
              </w:rPr>
              <w:t>贯彻落实党中央国务院、市委市政府、区委区政府转变政府职能和“放管服”改革有关方针政策，制定转变政府职能、优化政务服务、改善营商环境相应制度、办法、措施并组织实施。做好推进营商环境建设、行政审批制度改革、三级服务体系建设、政府信息公开、全区政府系统电子政务发展、服务群众等工作。</w:t>
            </w:r>
          </w:p>
        </w:tc>
        <w:tc>
          <w:tcPr>
            <w:tcW w:w="2447" w:type="dxa"/>
            <w:gridSpan w:val="3"/>
            <w:tcBorders>
              <w:tl2br w:val="nil"/>
              <w:tr2bl w:val="nil"/>
            </w:tcBorders>
            <w:noWrap w:val="0"/>
            <w:vAlign w:val="center"/>
          </w:tcPr>
          <w:p w14:paraId="5D4F07A3">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Times New Roman" w:hAnsi="Times New Roman" w:eastAsia="宋体" w:cs="Times New Roman"/>
                <w:kern w:val="2"/>
                <w:sz w:val="21"/>
                <w:szCs w:val="21"/>
                <w:lang w:val="en-US" w:eastAsia="zh-CN" w:bidi="ar-SA"/>
              </w:rPr>
            </w:pPr>
            <w:r>
              <w:rPr>
                <w:rFonts w:hint="eastAsia" w:ascii="宋体" w:hAnsi="宋体" w:eastAsia="方正仿宋_GBK" w:cs="方正仿宋_GBK"/>
                <w:color w:val="000000"/>
                <w:kern w:val="0"/>
                <w:sz w:val="21"/>
                <w:szCs w:val="21"/>
                <w:lang w:val="en-US" w:eastAsia="zh-CN"/>
              </w:rPr>
              <w:tab/>
            </w:r>
            <w:r>
              <w:rPr>
                <w:rFonts w:hint="eastAsia" w:ascii="宋体" w:hAnsi="宋体" w:eastAsia="方正仿宋_GBK" w:cs="方正仿宋_GBK"/>
                <w:color w:val="000000"/>
                <w:kern w:val="0"/>
                <w:sz w:val="21"/>
                <w:szCs w:val="21"/>
                <w:lang w:val="en-US" w:eastAsia="zh-CN"/>
              </w:rPr>
              <w:t>贯彻落实党中央国务院、市委市政府、区委区政府转变政府职能和“放管服”改革有关方针政策，制定转变政府职能、优化政务服务、改善营商环境相应制度、办法、措施并组织实施。做好推进营商环境建设、行政审批制度改革、三级服务体系建设、政府信息公开、全区政府系统电子政务发展、服务群众等工作。</w:t>
            </w:r>
          </w:p>
        </w:tc>
        <w:tc>
          <w:tcPr>
            <w:tcW w:w="2988" w:type="dxa"/>
            <w:gridSpan w:val="3"/>
            <w:tcBorders>
              <w:tl2br w:val="nil"/>
              <w:tr2bl w:val="nil"/>
            </w:tcBorders>
            <w:noWrap w:val="0"/>
            <w:vAlign w:val="center"/>
          </w:tcPr>
          <w:p w14:paraId="70E59917">
            <w:pPr>
              <w:keepNext w:val="0"/>
              <w:keepLines w:val="0"/>
              <w:pageBreakBefore w:val="0"/>
              <w:widowControl/>
              <w:kinsoku/>
              <w:wordWrap/>
              <w:overflowPunct/>
              <w:topLinePunct w:val="0"/>
              <w:autoSpaceDE/>
              <w:autoSpaceDN/>
              <w:bidi w:val="0"/>
              <w:adjustRightInd/>
              <w:snapToGrid/>
              <w:spacing w:line="320" w:lineRule="exact"/>
              <w:ind w:firstLine="412" w:firstLineChars="200"/>
              <w:textAlignment w:val="auto"/>
              <w:rPr>
                <w:rFonts w:hint="eastAsia" w:ascii="宋体" w:hAnsi="宋体" w:eastAsia="方正仿宋_GBK" w:cs="方正仿宋_GBK"/>
                <w:color w:val="000000"/>
                <w:kern w:val="0"/>
                <w:sz w:val="21"/>
                <w:szCs w:val="21"/>
                <w:lang w:eastAsia="zh-CN"/>
              </w:rPr>
            </w:pPr>
            <w:r>
              <w:rPr>
                <w:rFonts w:hint="eastAsia" w:ascii="宋体" w:hAnsi="宋体" w:eastAsia="方正仿宋_GBK" w:cs="方正仿宋_GBK"/>
                <w:color w:val="000000"/>
                <w:kern w:val="0"/>
                <w:sz w:val="21"/>
                <w:szCs w:val="21"/>
              </w:rPr>
              <w:t>政务服务中心正常办公运转，电子政务外网运行系统稳定运行，综合窗口业务工作正常开展，电子政务中心机房全年正常运行，履行好政府网站监督考核责任，确保政府网站和政务新媒体健康有序运行，行政审批结果免费邮寄，营造优良的营商环境，维护全区各镇街便民服务中心、各社区便民服务站的视频监控系统，保障网络达到通畅；制定《江津区优化营商环境宣传工作方案》，在各级媒体平台发布营商环境宣传报道，组织召开营商环境述职评议会议，开展政策集中宣讲</w:t>
            </w:r>
            <w:r>
              <w:rPr>
                <w:rFonts w:hint="eastAsia" w:ascii="宋体" w:hAnsi="宋体" w:eastAsia="方正仿宋_GBK" w:cs="方正仿宋_GBK"/>
                <w:color w:val="000000"/>
                <w:kern w:val="0"/>
                <w:sz w:val="21"/>
                <w:szCs w:val="21"/>
                <w:lang w:eastAsia="zh-CN"/>
              </w:rPr>
              <w:t>。</w:t>
            </w:r>
          </w:p>
        </w:tc>
      </w:tr>
      <w:tr w14:paraId="648B3B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847" w:type="dxa"/>
            <w:vMerge w:val="restart"/>
            <w:tcBorders>
              <w:tl2br w:val="nil"/>
              <w:tr2bl w:val="nil"/>
            </w:tcBorders>
            <w:noWrap w:val="0"/>
            <w:vAlign w:val="center"/>
          </w:tcPr>
          <w:p w14:paraId="516E5477">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eastAsia" w:ascii="方正仿宋_GBK" w:hAnsi="方正仿宋_GBK" w:eastAsia="方正仿宋_GBK" w:cs="方正仿宋_GBK"/>
                <w:color w:val="000000"/>
                <w:kern w:val="0"/>
                <w:sz w:val="24"/>
                <w:szCs w:val="24"/>
                <w:lang w:val="en-US" w:eastAsia="zh-CN"/>
              </w:rPr>
            </w:pPr>
            <w:r>
              <w:rPr>
                <w:rFonts w:hint="eastAsia" w:ascii="方正仿宋_GBK" w:hAnsi="方正仿宋_GBK" w:eastAsia="方正仿宋_GBK" w:cs="方正仿宋_GBK"/>
                <w:color w:val="000000"/>
                <w:kern w:val="0"/>
                <w:sz w:val="24"/>
                <w:szCs w:val="24"/>
                <w:lang w:val="en-US" w:eastAsia="zh-CN"/>
              </w:rPr>
              <w:t>绩效指 标</w:t>
            </w:r>
          </w:p>
        </w:tc>
        <w:tc>
          <w:tcPr>
            <w:tcW w:w="1175" w:type="dxa"/>
            <w:tcBorders>
              <w:tl2br w:val="nil"/>
              <w:tr2bl w:val="nil"/>
            </w:tcBorders>
            <w:noWrap w:val="0"/>
            <w:vAlign w:val="center"/>
          </w:tcPr>
          <w:p w14:paraId="06FF2D4B">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指标</w:t>
            </w:r>
          </w:p>
          <w:p w14:paraId="58897396">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名称</w:t>
            </w:r>
          </w:p>
        </w:tc>
        <w:tc>
          <w:tcPr>
            <w:tcW w:w="455" w:type="dxa"/>
            <w:tcBorders>
              <w:tl2br w:val="nil"/>
              <w:tr2bl w:val="nil"/>
            </w:tcBorders>
            <w:noWrap w:val="0"/>
            <w:vAlign w:val="center"/>
          </w:tcPr>
          <w:p w14:paraId="112A69F0">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计量</w:t>
            </w:r>
          </w:p>
          <w:p w14:paraId="29E2E790">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单位</w:t>
            </w:r>
          </w:p>
        </w:tc>
        <w:tc>
          <w:tcPr>
            <w:tcW w:w="909" w:type="dxa"/>
            <w:tcBorders>
              <w:tl2br w:val="nil"/>
              <w:tr2bl w:val="nil"/>
            </w:tcBorders>
            <w:noWrap w:val="0"/>
            <w:vAlign w:val="center"/>
          </w:tcPr>
          <w:p w14:paraId="0447F973">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指标</w:t>
            </w:r>
          </w:p>
          <w:p w14:paraId="11955E0A">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性质</w:t>
            </w:r>
          </w:p>
        </w:tc>
        <w:tc>
          <w:tcPr>
            <w:tcW w:w="1311" w:type="dxa"/>
            <w:tcBorders>
              <w:tl2br w:val="nil"/>
              <w:tr2bl w:val="nil"/>
            </w:tcBorders>
            <w:noWrap w:val="0"/>
            <w:vAlign w:val="center"/>
          </w:tcPr>
          <w:p w14:paraId="6B7D3BAF">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指标</w:t>
            </w:r>
          </w:p>
          <w:p w14:paraId="3425AE16">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值</w:t>
            </w:r>
          </w:p>
        </w:tc>
        <w:tc>
          <w:tcPr>
            <w:tcW w:w="842" w:type="dxa"/>
            <w:tcBorders>
              <w:tl2br w:val="nil"/>
              <w:tr2bl w:val="nil"/>
            </w:tcBorders>
            <w:noWrap w:val="0"/>
            <w:vAlign w:val="center"/>
          </w:tcPr>
          <w:p w14:paraId="44D37E2A">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全年</w:t>
            </w:r>
          </w:p>
          <w:p w14:paraId="499845FE">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完成值</w:t>
            </w:r>
          </w:p>
        </w:tc>
        <w:tc>
          <w:tcPr>
            <w:tcW w:w="774" w:type="dxa"/>
            <w:tcBorders>
              <w:tl2br w:val="nil"/>
              <w:tr2bl w:val="nil"/>
            </w:tcBorders>
            <w:noWrap w:val="0"/>
            <w:vAlign w:val="center"/>
          </w:tcPr>
          <w:p w14:paraId="69259D40">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方正仿宋_GBK" w:cs="方正仿宋_GBK"/>
                <w:color w:val="000000"/>
                <w:kern w:val="0"/>
                <w:sz w:val="24"/>
                <w:szCs w:val="24"/>
                <w:lang w:val="en-US" w:eastAsia="zh-CN"/>
              </w:rPr>
            </w:pPr>
            <w:r>
              <w:rPr>
                <w:rFonts w:hint="eastAsia" w:ascii="宋体" w:hAnsi="宋体" w:eastAsia="方正仿宋_GBK" w:cs="方正仿宋_GBK"/>
                <w:color w:val="000000"/>
                <w:kern w:val="0"/>
                <w:sz w:val="24"/>
                <w:szCs w:val="24"/>
                <w:lang w:val="en-US" w:eastAsia="zh-CN"/>
              </w:rPr>
              <w:t>偏离度（%）</w:t>
            </w:r>
          </w:p>
        </w:tc>
        <w:tc>
          <w:tcPr>
            <w:tcW w:w="831" w:type="dxa"/>
            <w:tcBorders>
              <w:tl2br w:val="nil"/>
              <w:tr2bl w:val="nil"/>
            </w:tcBorders>
            <w:noWrap w:val="0"/>
            <w:vAlign w:val="center"/>
          </w:tcPr>
          <w:p w14:paraId="2B2022C3">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得分</w:t>
            </w:r>
          </w:p>
          <w:p w14:paraId="72350567">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系数</w:t>
            </w:r>
          </w:p>
          <w:p w14:paraId="3E801CAD">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w:t>
            </w:r>
          </w:p>
        </w:tc>
        <w:tc>
          <w:tcPr>
            <w:tcW w:w="916" w:type="dxa"/>
            <w:tcBorders>
              <w:tl2br w:val="nil"/>
              <w:tr2bl w:val="nil"/>
            </w:tcBorders>
            <w:noWrap w:val="0"/>
            <w:vAlign w:val="center"/>
          </w:tcPr>
          <w:p w14:paraId="35046DBF">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指标</w:t>
            </w:r>
          </w:p>
          <w:p w14:paraId="3C9EF6EF">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权重</w:t>
            </w:r>
          </w:p>
          <w:p w14:paraId="11AEBB9F">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（分）</w:t>
            </w:r>
          </w:p>
        </w:tc>
        <w:tc>
          <w:tcPr>
            <w:tcW w:w="803" w:type="dxa"/>
            <w:tcBorders>
              <w:tl2br w:val="nil"/>
              <w:tr2bl w:val="nil"/>
            </w:tcBorders>
            <w:noWrap w:val="0"/>
            <w:vAlign w:val="center"/>
          </w:tcPr>
          <w:p w14:paraId="369955F9">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指标得分</w:t>
            </w:r>
          </w:p>
          <w:p w14:paraId="59B31B3C">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（分）</w:t>
            </w:r>
          </w:p>
        </w:tc>
        <w:tc>
          <w:tcPr>
            <w:tcW w:w="1269" w:type="dxa"/>
            <w:tcBorders>
              <w:tl2br w:val="nil"/>
              <w:tr2bl w:val="nil"/>
            </w:tcBorders>
            <w:noWrap w:val="0"/>
            <w:vAlign w:val="center"/>
          </w:tcPr>
          <w:p w14:paraId="46A2EA25">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方正仿宋_GBK" w:cs="方正仿宋_GBK"/>
                <w:color w:val="000000"/>
                <w:kern w:val="0"/>
                <w:sz w:val="24"/>
                <w:szCs w:val="24"/>
                <w:lang w:val="en-US" w:eastAsia="zh-CN"/>
              </w:rPr>
            </w:pPr>
            <w:r>
              <w:rPr>
                <w:rFonts w:hint="eastAsia" w:ascii="宋体" w:hAnsi="宋体" w:eastAsia="方正仿宋_GBK" w:cs="方正仿宋_GBK"/>
                <w:color w:val="000000"/>
                <w:kern w:val="0"/>
                <w:sz w:val="24"/>
                <w:szCs w:val="24"/>
                <w:lang w:val="en-US" w:eastAsia="zh-CN"/>
              </w:rPr>
              <w:t>说明</w:t>
            </w:r>
          </w:p>
        </w:tc>
      </w:tr>
      <w:tr w14:paraId="00EF83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847" w:type="dxa"/>
            <w:vMerge w:val="continue"/>
            <w:tcBorders>
              <w:tl2br w:val="nil"/>
              <w:tr2bl w:val="nil"/>
            </w:tcBorders>
            <w:noWrap w:val="0"/>
            <w:vAlign w:val="center"/>
          </w:tcPr>
          <w:p w14:paraId="11C9C56D">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方正仿宋_GBK" w:hAnsi="方正仿宋_GBK" w:eastAsia="方正仿宋_GBK" w:cs="方正仿宋_GBK"/>
                <w:color w:val="000000"/>
                <w:kern w:val="0"/>
                <w:sz w:val="24"/>
                <w:szCs w:val="24"/>
              </w:rPr>
            </w:pPr>
          </w:p>
        </w:tc>
        <w:tc>
          <w:tcPr>
            <w:tcW w:w="1175" w:type="dxa"/>
            <w:tcBorders>
              <w:tl2br w:val="nil"/>
              <w:tr2bl w:val="nil"/>
            </w:tcBorders>
            <w:noWrap w:val="0"/>
            <w:vAlign w:val="center"/>
          </w:tcPr>
          <w:p w14:paraId="324E5A41">
            <w:pPr>
              <w:keepNext w:val="0"/>
              <w:keepLines w:val="0"/>
              <w:pageBreakBefore w:val="0"/>
              <w:widowControl/>
              <w:kinsoku/>
              <w:wordWrap/>
              <w:overflowPunct/>
              <w:topLinePunct w:val="0"/>
              <w:autoSpaceDE/>
              <w:autoSpaceDN/>
              <w:bidi w:val="0"/>
              <w:adjustRightInd/>
              <w:snapToGrid/>
              <w:spacing w:line="340" w:lineRule="exact"/>
              <w:textAlignment w:val="auto"/>
              <w:rPr>
                <w:rFonts w:hint="eastAsia" w:ascii="宋体" w:hAnsi="宋体" w:eastAsia="方正仿宋_GBK" w:cs="方正仿宋_GBK"/>
                <w:color w:val="000000"/>
                <w:kern w:val="0"/>
                <w:sz w:val="21"/>
                <w:szCs w:val="21"/>
              </w:rPr>
            </w:pPr>
            <w:r>
              <w:rPr>
                <w:rFonts w:hint="eastAsia" w:ascii="宋体" w:hAnsi="宋体" w:eastAsia="方正仿宋_GBK" w:cs="方正仿宋_GBK"/>
                <w:color w:val="000000"/>
                <w:kern w:val="0"/>
                <w:sz w:val="21"/>
                <w:szCs w:val="21"/>
              </w:rPr>
              <w:t>缴纳月份</w:t>
            </w:r>
          </w:p>
        </w:tc>
        <w:tc>
          <w:tcPr>
            <w:tcW w:w="455" w:type="dxa"/>
            <w:tcBorders>
              <w:tl2br w:val="nil"/>
              <w:tr2bl w:val="nil"/>
            </w:tcBorders>
            <w:noWrap w:val="0"/>
            <w:vAlign w:val="center"/>
          </w:tcPr>
          <w:p w14:paraId="440B7B0B">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eastAsia"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月</w:t>
            </w:r>
          </w:p>
        </w:tc>
        <w:tc>
          <w:tcPr>
            <w:tcW w:w="909" w:type="dxa"/>
            <w:tcBorders>
              <w:tl2br w:val="nil"/>
              <w:tr2bl w:val="nil"/>
            </w:tcBorders>
            <w:noWrap w:val="0"/>
            <w:vAlign w:val="center"/>
          </w:tcPr>
          <w:p w14:paraId="0FCC0495">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w:t>
            </w:r>
          </w:p>
        </w:tc>
        <w:tc>
          <w:tcPr>
            <w:tcW w:w="1311" w:type="dxa"/>
            <w:tcBorders>
              <w:tl2br w:val="nil"/>
              <w:tr2bl w:val="nil"/>
            </w:tcBorders>
            <w:noWrap w:val="0"/>
            <w:vAlign w:val="center"/>
          </w:tcPr>
          <w:p w14:paraId="38AB113B">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12</w:t>
            </w:r>
          </w:p>
        </w:tc>
        <w:tc>
          <w:tcPr>
            <w:tcW w:w="842" w:type="dxa"/>
            <w:tcBorders>
              <w:tl2br w:val="nil"/>
              <w:tr2bl w:val="nil"/>
            </w:tcBorders>
            <w:noWrap w:val="0"/>
            <w:vAlign w:val="center"/>
          </w:tcPr>
          <w:p w14:paraId="117DADB1">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12</w:t>
            </w:r>
          </w:p>
        </w:tc>
        <w:tc>
          <w:tcPr>
            <w:tcW w:w="774" w:type="dxa"/>
            <w:tcBorders>
              <w:tl2br w:val="nil"/>
              <w:tr2bl w:val="nil"/>
            </w:tcBorders>
            <w:noWrap w:val="0"/>
            <w:vAlign w:val="center"/>
          </w:tcPr>
          <w:p w14:paraId="56C2746C">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宋体" w:hAnsi="宋体" w:eastAsia="方正仿宋_GBK" w:cs="方正仿宋_GBK"/>
                <w:color w:val="000000"/>
                <w:kern w:val="0"/>
                <w:sz w:val="24"/>
                <w:szCs w:val="24"/>
                <w:lang w:val="en-US" w:eastAsia="zh-CN"/>
              </w:rPr>
            </w:pPr>
            <w:r>
              <w:rPr>
                <w:rFonts w:hint="eastAsia" w:ascii="宋体" w:hAnsi="宋体" w:eastAsia="方正仿宋_GBK" w:cs="方正仿宋_GBK"/>
                <w:color w:val="000000"/>
                <w:kern w:val="0"/>
                <w:sz w:val="24"/>
                <w:szCs w:val="24"/>
                <w:lang w:val="en-US" w:eastAsia="zh-CN"/>
              </w:rPr>
              <w:t>0</w:t>
            </w:r>
          </w:p>
        </w:tc>
        <w:tc>
          <w:tcPr>
            <w:tcW w:w="831" w:type="dxa"/>
            <w:tcBorders>
              <w:tl2br w:val="nil"/>
              <w:tr2bl w:val="nil"/>
            </w:tcBorders>
            <w:noWrap w:val="0"/>
            <w:vAlign w:val="center"/>
          </w:tcPr>
          <w:p w14:paraId="64A08ECC">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100</w:t>
            </w:r>
          </w:p>
        </w:tc>
        <w:tc>
          <w:tcPr>
            <w:tcW w:w="916" w:type="dxa"/>
            <w:tcBorders>
              <w:tl2br w:val="nil"/>
              <w:tr2bl w:val="nil"/>
            </w:tcBorders>
            <w:noWrap w:val="0"/>
            <w:vAlign w:val="center"/>
          </w:tcPr>
          <w:p w14:paraId="2484F5C4">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宋体" w:hAnsi="宋体" w:eastAsia="方正仿宋_GBK" w:cs="方正仿宋_GBK"/>
                <w:color w:val="000000"/>
                <w:kern w:val="0"/>
                <w:sz w:val="24"/>
                <w:szCs w:val="24"/>
                <w:lang w:val="en-US" w:eastAsia="zh-CN"/>
              </w:rPr>
            </w:pPr>
            <w:r>
              <w:rPr>
                <w:rFonts w:hint="eastAsia" w:ascii="宋体" w:hAnsi="宋体" w:eastAsia="方正仿宋_GBK" w:cs="方正仿宋_GBK"/>
                <w:color w:val="000000"/>
                <w:kern w:val="0"/>
                <w:sz w:val="24"/>
                <w:szCs w:val="24"/>
                <w:lang w:val="en-US" w:eastAsia="zh-CN"/>
              </w:rPr>
              <w:t>5</w:t>
            </w:r>
          </w:p>
        </w:tc>
        <w:tc>
          <w:tcPr>
            <w:tcW w:w="803" w:type="dxa"/>
            <w:tcBorders>
              <w:tl2br w:val="nil"/>
              <w:tr2bl w:val="nil"/>
            </w:tcBorders>
            <w:noWrap w:val="0"/>
            <w:vAlign w:val="center"/>
          </w:tcPr>
          <w:p w14:paraId="559E5697">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宋体" w:hAnsi="宋体" w:eastAsia="方正仿宋_GBK" w:cs="方正仿宋_GBK"/>
                <w:color w:val="000000"/>
                <w:kern w:val="0"/>
                <w:sz w:val="24"/>
                <w:szCs w:val="24"/>
                <w:lang w:val="en-US" w:eastAsia="zh-CN"/>
              </w:rPr>
            </w:pPr>
            <w:r>
              <w:rPr>
                <w:rFonts w:hint="eastAsia" w:ascii="宋体" w:hAnsi="宋体" w:eastAsia="方正仿宋_GBK" w:cs="方正仿宋_GBK"/>
                <w:color w:val="000000"/>
                <w:kern w:val="0"/>
                <w:sz w:val="24"/>
                <w:szCs w:val="24"/>
                <w:lang w:val="en-US" w:eastAsia="zh-CN"/>
              </w:rPr>
              <w:t>5</w:t>
            </w:r>
          </w:p>
        </w:tc>
        <w:tc>
          <w:tcPr>
            <w:tcW w:w="1269" w:type="dxa"/>
            <w:tcBorders>
              <w:tl2br w:val="nil"/>
              <w:tr2bl w:val="nil"/>
            </w:tcBorders>
            <w:noWrap w:val="0"/>
            <w:vAlign w:val="center"/>
          </w:tcPr>
          <w:p w14:paraId="0354894A">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宋体" w:hAnsi="宋体" w:eastAsia="方正仿宋_GBK" w:cs="方正仿宋_GBK"/>
                <w:color w:val="000000"/>
                <w:kern w:val="0"/>
                <w:sz w:val="24"/>
                <w:szCs w:val="24"/>
              </w:rPr>
            </w:pPr>
          </w:p>
        </w:tc>
      </w:tr>
      <w:tr w14:paraId="56E820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847" w:type="dxa"/>
            <w:vMerge w:val="continue"/>
            <w:tcBorders>
              <w:tl2br w:val="nil"/>
              <w:tr2bl w:val="nil"/>
            </w:tcBorders>
            <w:noWrap w:val="0"/>
            <w:vAlign w:val="center"/>
          </w:tcPr>
          <w:p w14:paraId="65C53DB1">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方正仿宋_GBK" w:hAnsi="方正仿宋_GBK" w:eastAsia="方正仿宋_GBK" w:cs="方正仿宋_GBK"/>
                <w:color w:val="000000"/>
                <w:kern w:val="0"/>
                <w:sz w:val="24"/>
                <w:szCs w:val="24"/>
              </w:rPr>
            </w:pPr>
          </w:p>
        </w:tc>
        <w:tc>
          <w:tcPr>
            <w:tcW w:w="1175" w:type="dxa"/>
            <w:tcBorders>
              <w:tl2br w:val="nil"/>
              <w:tr2bl w:val="nil"/>
            </w:tcBorders>
            <w:noWrap w:val="0"/>
            <w:vAlign w:val="center"/>
          </w:tcPr>
          <w:p w14:paraId="22D85A6E">
            <w:pPr>
              <w:keepNext w:val="0"/>
              <w:keepLines w:val="0"/>
              <w:pageBreakBefore w:val="0"/>
              <w:widowControl/>
              <w:kinsoku/>
              <w:wordWrap/>
              <w:overflowPunct/>
              <w:topLinePunct w:val="0"/>
              <w:autoSpaceDE/>
              <w:autoSpaceDN/>
              <w:bidi w:val="0"/>
              <w:adjustRightInd/>
              <w:snapToGrid/>
              <w:spacing w:line="340" w:lineRule="exact"/>
              <w:textAlignment w:val="auto"/>
              <w:rPr>
                <w:rFonts w:hint="eastAsia" w:ascii="宋体" w:hAnsi="宋体" w:eastAsia="方正仿宋_GBK" w:cs="方正仿宋_GBK"/>
                <w:color w:val="000000"/>
                <w:kern w:val="0"/>
                <w:sz w:val="21"/>
                <w:szCs w:val="21"/>
              </w:rPr>
            </w:pPr>
            <w:r>
              <w:rPr>
                <w:rFonts w:hint="eastAsia" w:ascii="宋体" w:hAnsi="宋体" w:eastAsia="方正仿宋_GBK" w:cs="方正仿宋_GBK"/>
                <w:color w:val="000000"/>
                <w:kern w:val="0"/>
                <w:sz w:val="21"/>
                <w:szCs w:val="21"/>
              </w:rPr>
              <w:t>服务质量达标率</w:t>
            </w:r>
          </w:p>
        </w:tc>
        <w:tc>
          <w:tcPr>
            <w:tcW w:w="455" w:type="dxa"/>
            <w:tcBorders>
              <w:tl2br w:val="nil"/>
              <w:tr2bl w:val="nil"/>
            </w:tcBorders>
            <w:noWrap w:val="0"/>
            <w:vAlign w:val="center"/>
          </w:tcPr>
          <w:p w14:paraId="6CFF5F6A">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w:t>
            </w:r>
          </w:p>
        </w:tc>
        <w:tc>
          <w:tcPr>
            <w:tcW w:w="909" w:type="dxa"/>
            <w:tcBorders>
              <w:tl2br w:val="nil"/>
              <w:tr2bl w:val="nil"/>
            </w:tcBorders>
            <w:noWrap w:val="0"/>
            <w:vAlign w:val="center"/>
          </w:tcPr>
          <w:p w14:paraId="44804FCC">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宋体" w:hAnsi="宋体" w:eastAsia="方正仿宋_GBK" w:cs="方正仿宋_GBK"/>
                <w:color w:val="000000"/>
                <w:kern w:val="0"/>
                <w:sz w:val="24"/>
                <w:szCs w:val="24"/>
              </w:rPr>
            </w:pPr>
            <w:r>
              <w:rPr>
                <w:rFonts w:hint="eastAsia"/>
              </w:rPr>
              <w:t>≥</w:t>
            </w:r>
          </w:p>
        </w:tc>
        <w:tc>
          <w:tcPr>
            <w:tcW w:w="1311" w:type="dxa"/>
            <w:tcBorders>
              <w:tl2br w:val="nil"/>
              <w:tr2bl w:val="nil"/>
            </w:tcBorders>
            <w:noWrap w:val="0"/>
            <w:vAlign w:val="center"/>
          </w:tcPr>
          <w:p w14:paraId="03DA88AE">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90</w:t>
            </w:r>
          </w:p>
        </w:tc>
        <w:tc>
          <w:tcPr>
            <w:tcW w:w="842" w:type="dxa"/>
            <w:tcBorders>
              <w:tl2br w:val="nil"/>
              <w:tr2bl w:val="nil"/>
            </w:tcBorders>
            <w:noWrap w:val="0"/>
            <w:vAlign w:val="center"/>
          </w:tcPr>
          <w:p w14:paraId="5C2365C7">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92</w:t>
            </w:r>
          </w:p>
        </w:tc>
        <w:tc>
          <w:tcPr>
            <w:tcW w:w="774" w:type="dxa"/>
            <w:tcBorders>
              <w:tl2br w:val="nil"/>
              <w:tr2bl w:val="nil"/>
            </w:tcBorders>
            <w:noWrap w:val="0"/>
            <w:vAlign w:val="center"/>
          </w:tcPr>
          <w:p w14:paraId="4B2B2A33">
            <w:pPr>
              <w:keepNext w:val="0"/>
              <w:keepLines w:val="0"/>
              <w:pageBreakBefore w:val="0"/>
              <w:widowControl/>
              <w:kinsoku/>
              <w:wordWrap/>
              <w:overflowPunct/>
              <w:topLinePunct w:val="0"/>
              <w:autoSpaceDE/>
              <w:autoSpaceDN/>
              <w:bidi w:val="0"/>
              <w:adjustRightInd/>
              <w:snapToGrid/>
              <w:spacing w:line="360" w:lineRule="exact"/>
              <w:textAlignment w:val="auto"/>
              <w:rPr>
                <w:rFonts w:hint="default" w:ascii="宋体" w:hAnsi="宋体" w:eastAsia="方正仿宋_GBK" w:cs="方正仿宋_GBK"/>
                <w:color w:val="000000"/>
                <w:kern w:val="0"/>
                <w:sz w:val="24"/>
                <w:szCs w:val="24"/>
                <w:lang w:val="en-US" w:eastAsia="zh-CN"/>
              </w:rPr>
            </w:pPr>
            <w:r>
              <w:rPr>
                <w:rFonts w:hint="eastAsia" w:ascii="宋体" w:hAnsi="宋体" w:eastAsia="方正仿宋_GBK" w:cs="方正仿宋_GBK"/>
                <w:color w:val="000000"/>
                <w:kern w:val="0"/>
                <w:sz w:val="24"/>
                <w:szCs w:val="24"/>
                <w:lang w:val="en-US" w:eastAsia="zh-CN"/>
              </w:rPr>
              <w:t>2.22</w:t>
            </w:r>
          </w:p>
        </w:tc>
        <w:tc>
          <w:tcPr>
            <w:tcW w:w="831" w:type="dxa"/>
            <w:tcBorders>
              <w:tl2br w:val="nil"/>
              <w:tr2bl w:val="nil"/>
            </w:tcBorders>
            <w:noWrap w:val="0"/>
            <w:vAlign w:val="center"/>
          </w:tcPr>
          <w:p w14:paraId="240CB490">
            <w:pPr>
              <w:keepNext w:val="0"/>
              <w:keepLines w:val="0"/>
              <w:pageBreakBefore w:val="0"/>
              <w:widowControl/>
              <w:kinsoku/>
              <w:wordWrap/>
              <w:overflowPunct/>
              <w:topLinePunct w:val="0"/>
              <w:autoSpaceDE/>
              <w:autoSpaceDN/>
              <w:bidi w:val="0"/>
              <w:adjustRightInd/>
              <w:snapToGrid/>
              <w:spacing w:line="360" w:lineRule="exact"/>
              <w:textAlignment w:val="auto"/>
              <w:rPr>
                <w:rFonts w:hint="default" w:ascii="宋体" w:hAnsi="宋体" w:eastAsia="方正仿宋_GBK" w:cs="方正仿宋_GBK"/>
                <w:color w:val="000000"/>
                <w:kern w:val="0"/>
                <w:sz w:val="24"/>
                <w:szCs w:val="24"/>
                <w:lang w:val="en-US" w:eastAsia="zh-CN"/>
              </w:rPr>
            </w:pPr>
            <w:r>
              <w:rPr>
                <w:rFonts w:hint="eastAsia" w:ascii="宋体" w:hAnsi="宋体" w:eastAsia="方正仿宋_GBK" w:cs="方正仿宋_GBK"/>
                <w:color w:val="000000"/>
                <w:kern w:val="0"/>
                <w:sz w:val="24"/>
                <w:szCs w:val="24"/>
                <w:lang w:val="en-US" w:eastAsia="zh-CN"/>
              </w:rPr>
              <w:t>100</w:t>
            </w:r>
          </w:p>
        </w:tc>
        <w:tc>
          <w:tcPr>
            <w:tcW w:w="916" w:type="dxa"/>
            <w:tcBorders>
              <w:tl2br w:val="nil"/>
              <w:tr2bl w:val="nil"/>
            </w:tcBorders>
            <w:noWrap w:val="0"/>
            <w:vAlign w:val="center"/>
          </w:tcPr>
          <w:p w14:paraId="5B9AE036">
            <w:pPr>
              <w:keepNext w:val="0"/>
              <w:keepLines w:val="0"/>
              <w:pageBreakBefore w:val="0"/>
              <w:widowControl/>
              <w:kinsoku/>
              <w:wordWrap/>
              <w:overflowPunct/>
              <w:topLinePunct w:val="0"/>
              <w:autoSpaceDE/>
              <w:autoSpaceDN/>
              <w:bidi w:val="0"/>
              <w:adjustRightInd/>
              <w:snapToGrid/>
              <w:spacing w:line="360" w:lineRule="exact"/>
              <w:textAlignment w:val="auto"/>
              <w:rPr>
                <w:rFonts w:hint="default" w:ascii="宋体" w:hAnsi="宋体" w:eastAsia="方正仿宋_GBK" w:cs="方正仿宋_GBK"/>
                <w:color w:val="000000"/>
                <w:kern w:val="0"/>
                <w:sz w:val="24"/>
                <w:szCs w:val="24"/>
                <w:lang w:val="en-US" w:eastAsia="zh-CN"/>
              </w:rPr>
            </w:pPr>
            <w:r>
              <w:rPr>
                <w:rFonts w:hint="eastAsia" w:ascii="宋体" w:hAnsi="宋体" w:eastAsia="方正仿宋_GBK" w:cs="方正仿宋_GBK"/>
                <w:color w:val="000000"/>
                <w:kern w:val="0"/>
                <w:sz w:val="24"/>
                <w:szCs w:val="24"/>
                <w:lang w:val="en-US" w:eastAsia="zh-CN"/>
              </w:rPr>
              <w:t>10</w:t>
            </w:r>
          </w:p>
        </w:tc>
        <w:tc>
          <w:tcPr>
            <w:tcW w:w="803" w:type="dxa"/>
            <w:tcBorders>
              <w:tl2br w:val="nil"/>
              <w:tr2bl w:val="nil"/>
            </w:tcBorders>
            <w:noWrap w:val="0"/>
            <w:vAlign w:val="center"/>
          </w:tcPr>
          <w:p w14:paraId="74CD26DC">
            <w:pPr>
              <w:keepNext w:val="0"/>
              <w:keepLines w:val="0"/>
              <w:pageBreakBefore w:val="0"/>
              <w:widowControl/>
              <w:kinsoku/>
              <w:wordWrap/>
              <w:overflowPunct/>
              <w:topLinePunct w:val="0"/>
              <w:autoSpaceDE/>
              <w:autoSpaceDN/>
              <w:bidi w:val="0"/>
              <w:adjustRightInd/>
              <w:snapToGrid/>
              <w:spacing w:line="360" w:lineRule="exact"/>
              <w:textAlignment w:val="auto"/>
              <w:rPr>
                <w:rFonts w:hint="default" w:ascii="宋体" w:hAnsi="宋体" w:eastAsia="方正仿宋_GBK" w:cs="方正仿宋_GBK"/>
                <w:color w:val="000000"/>
                <w:kern w:val="0"/>
                <w:sz w:val="24"/>
                <w:szCs w:val="24"/>
                <w:lang w:val="en-US" w:eastAsia="zh-CN"/>
              </w:rPr>
            </w:pPr>
            <w:r>
              <w:rPr>
                <w:rFonts w:hint="eastAsia" w:ascii="宋体" w:hAnsi="宋体" w:eastAsia="方正仿宋_GBK" w:cs="方正仿宋_GBK"/>
                <w:color w:val="000000"/>
                <w:kern w:val="0"/>
                <w:sz w:val="24"/>
                <w:szCs w:val="24"/>
                <w:lang w:val="en-US" w:eastAsia="zh-CN"/>
              </w:rPr>
              <w:t>10</w:t>
            </w:r>
          </w:p>
        </w:tc>
        <w:tc>
          <w:tcPr>
            <w:tcW w:w="1269" w:type="dxa"/>
            <w:tcBorders>
              <w:tl2br w:val="nil"/>
              <w:tr2bl w:val="nil"/>
            </w:tcBorders>
            <w:noWrap w:val="0"/>
            <w:vAlign w:val="center"/>
          </w:tcPr>
          <w:p w14:paraId="60C8BD3B">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宋体" w:hAnsi="宋体" w:eastAsia="方正仿宋_GBK" w:cs="方正仿宋_GBK"/>
                <w:color w:val="000000"/>
                <w:kern w:val="0"/>
                <w:sz w:val="24"/>
                <w:szCs w:val="24"/>
              </w:rPr>
            </w:pPr>
          </w:p>
        </w:tc>
      </w:tr>
      <w:tr w14:paraId="0EFBBC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847" w:type="dxa"/>
            <w:vMerge w:val="continue"/>
            <w:tcBorders>
              <w:tl2br w:val="nil"/>
              <w:tr2bl w:val="nil"/>
            </w:tcBorders>
            <w:noWrap w:val="0"/>
            <w:vAlign w:val="center"/>
          </w:tcPr>
          <w:p w14:paraId="44DA4934">
            <w:pPr>
              <w:keepNext w:val="0"/>
              <w:keepLines w:val="0"/>
              <w:pageBreakBefore w:val="0"/>
              <w:widowControl/>
              <w:kinsoku/>
              <w:wordWrap/>
              <w:overflowPunct/>
              <w:topLinePunct w:val="0"/>
              <w:autoSpaceDE/>
              <w:autoSpaceDN/>
              <w:bidi w:val="0"/>
              <w:adjustRightInd/>
              <w:snapToGrid/>
              <w:spacing w:line="360" w:lineRule="exact"/>
              <w:textAlignment w:val="auto"/>
              <w:rPr>
                <w:rFonts w:hint="default" w:ascii="方正仿宋_GBK" w:hAnsi="方正仿宋_GBK" w:eastAsia="方正仿宋_GBK" w:cs="方正仿宋_GBK"/>
                <w:color w:val="000000"/>
                <w:kern w:val="0"/>
                <w:sz w:val="24"/>
                <w:szCs w:val="24"/>
                <w:lang w:val="en-US" w:eastAsia="zh-CN"/>
              </w:rPr>
            </w:pPr>
          </w:p>
        </w:tc>
        <w:tc>
          <w:tcPr>
            <w:tcW w:w="1175" w:type="dxa"/>
            <w:tcBorders>
              <w:tl2br w:val="nil"/>
              <w:tr2bl w:val="nil"/>
            </w:tcBorders>
            <w:noWrap w:val="0"/>
            <w:vAlign w:val="center"/>
          </w:tcPr>
          <w:p w14:paraId="319B7D66">
            <w:pPr>
              <w:keepNext w:val="0"/>
              <w:keepLines w:val="0"/>
              <w:pageBreakBefore w:val="0"/>
              <w:widowControl/>
              <w:kinsoku/>
              <w:wordWrap/>
              <w:overflowPunct/>
              <w:topLinePunct w:val="0"/>
              <w:autoSpaceDE/>
              <w:autoSpaceDN/>
              <w:bidi w:val="0"/>
              <w:adjustRightInd/>
              <w:snapToGrid/>
              <w:spacing w:line="340" w:lineRule="exact"/>
              <w:textAlignment w:val="auto"/>
              <w:rPr>
                <w:rFonts w:hint="eastAsia" w:ascii="宋体" w:hAnsi="宋体" w:eastAsia="方正仿宋_GBK" w:cs="方正仿宋_GBK"/>
                <w:color w:val="000000"/>
                <w:kern w:val="0"/>
                <w:sz w:val="21"/>
                <w:szCs w:val="21"/>
              </w:rPr>
            </w:pPr>
            <w:r>
              <w:rPr>
                <w:rFonts w:hint="eastAsia" w:ascii="宋体" w:hAnsi="宋体" w:eastAsia="方正仿宋_GBK" w:cs="方正仿宋_GBK"/>
                <w:color w:val="000000"/>
                <w:kern w:val="0"/>
                <w:sz w:val="21"/>
                <w:szCs w:val="21"/>
              </w:rPr>
              <w:t>投诉率</w:t>
            </w:r>
          </w:p>
        </w:tc>
        <w:tc>
          <w:tcPr>
            <w:tcW w:w="455" w:type="dxa"/>
            <w:tcBorders>
              <w:tl2br w:val="nil"/>
              <w:tr2bl w:val="nil"/>
            </w:tcBorders>
            <w:noWrap w:val="0"/>
            <w:vAlign w:val="center"/>
          </w:tcPr>
          <w:p w14:paraId="149CD21F">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w:t>
            </w:r>
          </w:p>
        </w:tc>
        <w:tc>
          <w:tcPr>
            <w:tcW w:w="909" w:type="dxa"/>
            <w:tcBorders>
              <w:tl2br w:val="nil"/>
              <w:tr2bl w:val="nil"/>
            </w:tcBorders>
            <w:noWrap w:val="0"/>
            <w:vAlign w:val="center"/>
          </w:tcPr>
          <w:p w14:paraId="14E554D3">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w:t>
            </w:r>
          </w:p>
        </w:tc>
        <w:tc>
          <w:tcPr>
            <w:tcW w:w="1311" w:type="dxa"/>
            <w:tcBorders>
              <w:tl2br w:val="nil"/>
              <w:tr2bl w:val="nil"/>
            </w:tcBorders>
            <w:noWrap w:val="0"/>
            <w:vAlign w:val="center"/>
          </w:tcPr>
          <w:p w14:paraId="2C0A2D13">
            <w:pPr>
              <w:keepNext w:val="0"/>
              <w:keepLines w:val="0"/>
              <w:pageBreakBefore w:val="0"/>
              <w:widowControl/>
              <w:kinsoku/>
              <w:wordWrap/>
              <w:overflowPunct/>
              <w:topLinePunct w:val="0"/>
              <w:autoSpaceDE/>
              <w:autoSpaceDN/>
              <w:bidi w:val="0"/>
              <w:adjustRightInd/>
              <w:snapToGrid/>
              <w:spacing w:line="360" w:lineRule="exact"/>
              <w:textAlignment w:val="auto"/>
              <w:rPr>
                <w:rFonts w:hint="default" w:ascii="宋体" w:hAnsi="宋体" w:eastAsia="方正仿宋_GBK" w:cs="方正仿宋_GBK"/>
                <w:color w:val="000000"/>
                <w:kern w:val="0"/>
                <w:sz w:val="24"/>
                <w:szCs w:val="24"/>
                <w:lang w:val="en-US" w:eastAsia="zh-CN"/>
              </w:rPr>
            </w:pPr>
            <w:r>
              <w:rPr>
                <w:rFonts w:hint="eastAsia" w:ascii="宋体" w:hAnsi="宋体" w:eastAsia="方正仿宋_GBK" w:cs="方正仿宋_GBK"/>
                <w:color w:val="000000"/>
                <w:kern w:val="0"/>
                <w:sz w:val="24"/>
                <w:szCs w:val="24"/>
                <w:lang w:val="en-US" w:eastAsia="zh-CN"/>
              </w:rPr>
              <w:t>10</w:t>
            </w:r>
          </w:p>
        </w:tc>
        <w:tc>
          <w:tcPr>
            <w:tcW w:w="842" w:type="dxa"/>
            <w:tcBorders>
              <w:tl2br w:val="nil"/>
              <w:tr2bl w:val="nil"/>
            </w:tcBorders>
            <w:noWrap w:val="0"/>
            <w:vAlign w:val="center"/>
          </w:tcPr>
          <w:p w14:paraId="30A67464">
            <w:pPr>
              <w:keepNext w:val="0"/>
              <w:keepLines w:val="0"/>
              <w:pageBreakBefore w:val="0"/>
              <w:widowControl/>
              <w:kinsoku/>
              <w:wordWrap/>
              <w:overflowPunct/>
              <w:topLinePunct w:val="0"/>
              <w:autoSpaceDE/>
              <w:autoSpaceDN/>
              <w:bidi w:val="0"/>
              <w:adjustRightInd/>
              <w:snapToGrid/>
              <w:spacing w:line="360" w:lineRule="exact"/>
              <w:textAlignment w:val="auto"/>
              <w:rPr>
                <w:rFonts w:hint="default" w:ascii="宋体" w:hAnsi="宋体" w:eastAsia="方正仿宋_GBK" w:cs="方正仿宋_GBK"/>
                <w:color w:val="000000"/>
                <w:kern w:val="0"/>
                <w:sz w:val="24"/>
                <w:szCs w:val="24"/>
                <w:lang w:val="en-US" w:eastAsia="zh-CN"/>
              </w:rPr>
            </w:pPr>
            <w:r>
              <w:rPr>
                <w:rFonts w:hint="eastAsia" w:ascii="宋体" w:hAnsi="宋体" w:eastAsia="方正仿宋_GBK" w:cs="方正仿宋_GBK"/>
                <w:color w:val="000000"/>
                <w:kern w:val="0"/>
                <w:sz w:val="24"/>
                <w:szCs w:val="24"/>
                <w:lang w:val="en-US" w:eastAsia="zh-CN"/>
              </w:rPr>
              <w:t>10</w:t>
            </w:r>
          </w:p>
        </w:tc>
        <w:tc>
          <w:tcPr>
            <w:tcW w:w="774" w:type="dxa"/>
            <w:tcBorders>
              <w:tl2br w:val="nil"/>
              <w:tr2bl w:val="nil"/>
            </w:tcBorders>
            <w:noWrap w:val="0"/>
            <w:vAlign w:val="center"/>
          </w:tcPr>
          <w:p w14:paraId="647D30FD">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宋体" w:hAnsi="宋体" w:eastAsia="方正仿宋_GBK" w:cs="方正仿宋_GBK"/>
                <w:color w:val="000000"/>
                <w:kern w:val="0"/>
                <w:sz w:val="24"/>
                <w:szCs w:val="24"/>
                <w:lang w:val="en-US" w:eastAsia="zh-CN"/>
              </w:rPr>
            </w:pPr>
            <w:r>
              <w:rPr>
                <w:rFonts w:hint="eastAsia" w:ascii="宋体" w:hAnsi="宋体" w:eastAsia="方正仿宋_GBK" w:cs="方正仿宋_GBK"/>
                <w:color w:val="000000"/>
                <w:kern w:val="0"/>
                <w:sz w:val="24"/>
                <w:szCs w:val="24"/>
                <w:lang w:val="en-US" w:eastAsia="zh-CN"/>
              </w:rPr>
              <w:t>0</w:t>
            </w:r>
          </w:p>
        </w:tc>
        <w:tc>
          <w:tcPr>
            <w:tcW w:w="831" w:type="dxa"/>
            <w:tcBorders>
              <w:tl2br w:val="nil"/>
              <w:tr2bl w:val="nil"/>
            </w:tcBorders>
            <w:noWrap w:val="0"/>
            <w:vAlign w:val="center"/>
          </w:tcPr>
          <w:p w14:paraId="08C08B4C">
            <w:pPr>
              <w:keepNext w:val="0"/>
              <w:keepLines w:val="0"/>
              <w:pageBreakBefore w:val="0"/>
              <w:widowControl/>
              <w:kinsoku/>
              <w:wordWrap/>
              <w:overflowPunct/>
              <w:topLinePunct w:val="0"/>
              <w:autoSpaceDE/>
              <w:autoSpaceDN/>
              <w:bidi w:val="0"/>
              <w:adjustRightInd/>
              <w:snapToGrid/>
              <w:spacing w:line="360" w:lineRule="exact"/>
              <w:textAlignment w:val="auto"/>
              <w:rPr>
                <w:rFonts w:hint="default" w:ascii="宋体" w:hAnsi="宋体" w:eastAsia="方正仿宋_GBK" w:cs="方正仿宋_GBK"/>
                <w:color w:val="000000"/>
                <w:kern w:val="0"/>
                <w:sz w:val="24"/>
                <w:szCs w:val="24"/>
                <w:lang w:val="en-US" w:eastAsia="zh-CN"/>
              </w:rPr>
            </w:pPr>
            <w:r>
              <w:rPr>
                <w:rFonts w:hint="eastAsia" w:ascii="宋体" w:hAnsi="宋体" w:eastAsia="方正仿宋_GBK" w:cs="方正仿宋_GBK"/>
                <w:color w:val="000000"/>
                <w:kern w:val="0"/>
                <w:sz w:val="24"/>
                <w:szCs w:val="24"/>
                <w:lang w:val="en-US" w:eastAsia="zh-CN"/>
              </w:rPr>
              <w:t>100</w:t>
            </w:r>
          </w:p>
        </w:tc>
        <w:tc>
          <w:tcPr>
            <w:tcW w:w="916" w:type="dxa"/>
            <w:tcBorders>
              <w:tl2br w:val="nil"/>
              <w:tr2bl w:val="nil"/>
            </w:tcBorders>
            <w:noWrap w:val="0"/>
            <w:vAlign w:val="center"/>
          </w:tcPr>
          <w:p w14:paraId="0C306433">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宋体" w:hAnsi="宋体" w:eastAsia="方正仿宋_GBK" w:cs="方正仿宋_GBK"/>
                <w:color w:val="000000"/>
                <w:kern w:val="0"/>
                <w:sz w:val="24"/>
                <w:szCs w:val="24"/>
                <w:lang w:val="en-US" w:eastAsia="zh-CN"/>
              </w:rPr>
            </w:pPr>
            <w:r>
              <w:rPr>
                <w:rFonts w:hint="eastAsia" w:ascii="宋体" w:hAnsi="宋体" w:eastAsia="方正仿宋_GBK" w:cs="方正仿宋_GBK"/>
                <w:color w:val="000000"/>
                <w:kern w:val="0"/>
                <w:sz w:val="24"/>
                <w:szCs w:val="24"/>
                <w:lang w:val="en-US" w:eastAsia="zh-CN"/>
              </w:rPr>
              <w:t>5</w:t>
            </w:r>
          </w:p>
        </w:tc>
        <w:tc>
          <w:tcPr>
            <w:tcW w:w="803" w:type="dxa"/>
            <w:tcBorders>
              <w:tl2br w:val="nil"/>
              <w:tr2bl w:val="nil"/>
            </w:tcBorders>
            <w:noWrap w:val="0"/>
            <w:vAlign w:val="center"/>
          </w:tcPr>
          <w:p w14:paraId="7A9D0DFF">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宋体" w:hAnsi="宋体" w:eastAsia="方正仿宋_GBK" w:cs="方正仿宋_GBK"/>
                <w:color w:val="000000"/>
                <w:kern w:val="0"/>
                <w:sz w:val="24"/>
                <w:szCs w:val="24"/>
                <w:lang w:val="en-US" w:eastAsia="zh-CN"/>
              </w:rPr>
            </w:pPr>
            <w:r>
              <w:rPr>
                <w:rFonts w:hint="eastAsia" w:ascii="宋体" w:hAnsi="宋体" w:eastAsia="方正仿宋_GBK" w:cs="方正仿宋_GBK"/>
                <w:color w:val="000000"/>
                <w:kern w:val="0"/>
                <w:sz w:val="24"/>
                <w:szCs w:val="24"/>
                <w:lang w:val="en-US" w:eastAsia="zh-CN"/>
              </w:rPr>
              <w:t>5</w:t>
            </w:r>
          </w:p>
        </w:tc>
        <w:tc>
          <w:tcPr>
            <w:tcW w:w="1269" w:type="dxa"/>
            <w:tcBorders>
              <w:tl2br w:val="nil"/>
              <w:tr2bl w:val="nil"/>
            </w:tcBorders>
            <w:noWrap w:val="0"/>
            <w:vAlign w:val="center"/>
          </w:tcPr>
          <w:p w14:paraId="6795B5E8">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宋体" w:hAnsi="宋体" w:eastAsia="方正仿宋_GBK" w:cs="方正仿宋_GBK"/>
                <w:color w:val="000000"/>
                <w:kern w:val="0"/>
                <w:sz w:val="24"/>
                <w:szCs w:val="24"/>
              </w:rPr>
            </w:pPr>
          </w:p>
        </w:tc>
      </w:tr>
      <w:tr w14:paraId="111DD7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847" w:type="dxa"/>
            <w:vMerge w:val="continue"/>
            <w:tcBorders>
              <w:tl2br w:val="nil"/>
              <w:tr2bl w:val="nil"/>
            </w:tcBorders>
            <w:noWrap w:val="0"/>
            <w:vAlign w:val="center"/>
          </w:tcPr>
          <w:p w14:paraId="02F56AB4">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方正仿宋_GBK" w:hAnsi="方正仿宋_GBK" w:eastAsia="方正仿宋_GBK" w:cs="方正仿宋_GBK"/>
                <w:color w:val="000000"/>
                <w:kern w:val="0"/>
                <w:sz w:val="24"/>
                <w:szCs w:val="24"/>
              </w:rPr>
            </w:pPr>
          </w:p>
        </w:tc>
        <w:tc>
          <w:tcPr>
            <w:tcW w:w="1175" w:type="dxa"/>
            <w:tcBorders>
              <w:tl2br w:val="nil"/>
              <w:tr2bl w:val="nil"/>
            </w:tcBorders>
            <w:noWrap w:val="0"/>
            <w:vAlign w:val="center"/>
          </w:tcPr>
          <w:p w14:paraId="050A5D8B">
            <w:pPr>
              <w:keepNext w:val="0"/>
              <w:keepLines w:val="0"/>
              <w:pageBreakBefore w:val="0"/>
              <w:widowControl/>
              <w:kinsoku/>
              <w:wordWrap/>
              <w:overflowPunct/>
              <w:topLinePunct w:val="0"/>
              <w:autoSpaceDE/>
              <w:autoSpaceDN/>
              <w:bidi w:val="0"/>
              <w:adjustRightInd/>
              <w:snapToGrid/>
              <w:spacing w:line="340" w:lineRule="exact"/>
              <w:textAlignment w:val="auto"/>
              <w:rPr>
                <w:rFonts w:hint="eastAsia" w:ascii="宋体" w:hAnsi="宋体" w:eastAsia="方正仿宋_GBK" w:cs="方正仿宋_GBK"/>
                <w:color w:val="000000"/>
                <w:kern w:val="0"/>
                <w:sz w:val="21"/>
                <w:szCs w:val="21"/>
              </w:rPr>
            </w:pPr>
            <w:r>
              <w:rPr>
                <w:rFonts w:hint="eastAsia" w:ascii="宋体" w:hAnsi="宋体" w:eastAsia="方正仿宋_GBK" w:cs="方正仿宋_GBK"/>
                <w:color w:val="000000"/>
                <w:kern w:val="0"/>
                <w:sz w:val="21"/>
                <w:szCs w:val="21"/>
              </w:rPr>
              <w:t>系统运行维护响应时间</w:t>
            </w:r>
          </w:p>
        </w:tc>
        <w:tc>
          <w:tcPr>
            <w:tcW w:w="455" w:type="dxa"/>
            <w:tcBorders>
              <w:tl2br w:val="nil"/>
              <w:tr2bl w:val="nil"/>
            </w:tcBorders>
            <w:noWrap w:val="0"/>
            <w:vAlign w:val="center"/>
          </w:tcPr>
          <w:p w14:paraId="3ACCF290">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小时</w:t>
            </w:r>
          </w:p>
        </w:tc>
        <w:tc>
          <w:tcPr>
            <w:tcW w:w="909" w:type="dxa"/>
            <w:tcBorders>
              <w:tl2br w:val="nil"/>
              <w:tr2bl w:val="nil"/>
            </w:tcBorders>
            <w:noWrap w:val="0"/>
            <w:vAlign w:val="center"/>
          </w:tcPr>
          <w:p w14:paraId="6F43CB6A">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w:t>
            </w:r>
          </w:p>
        </w:tc>
        <w:tc>
          <w:tcPr>
            <w:tcW w:w="1311" w:type="dxa"/>
            <w:tcBorders>
              <w:tl2br w:val="nil"/>
              <w:tr2bl w:val="nil"/>
            </w:tcBorders>
            <w:noWrap w:val="0"/>
            <w:vAlign w:val="center"/>
          </w:tcPr>
          <w:p w14:paraId="012E9FE6">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宋体" w:hAnsi="宋体" w:eastAsia="方正仿宋_GBK" w:cs="方正仿宋_GBK"/>
                <w:color w:val="000000"/>
                <w:kern w:val="0"/>
                <w:sz w:val="24"/>
                <w:szCs w:val="24"/>
                <w:lang w:val="en-US" w:eastAsia="zh-CN"/>
              </w:rPr>
            </w:pPr>
            <w:r>
              <w:rPr>
                <w:rFonts w:hint="eastAsia" w:ascii="宋体" w:hAnsi="宋体" w:eastAsia="方正仿宋_GBK" w:cs="方正仿宋_GBK"/>
                <w:color w:val="000000"/>
                <w:kern w:val="0"/>
                <w:sz w:val="24"/>
                <w:szCs w:val="24"/>
                <w:lang w:val="en-US" w:eastAsia="zh-CN"/>
              </w:rPr>
              <w:t>2</w:t>
            </w:r>
          </w:p>
        </w:tc>
        <w:tc>
          <w:tcPr>
            <w:tcW w:w="842" w:type="dxa"/>
            <w:tcBorders>
              <w:tl2br w:val="nil"/>
              <w:tr2bl w:val="nil"/>
            </w:tcBorders>
            <w:noWrap w:val="0"/>
            <w:vAlign w:val="center"/>
          </w:tcPr>
          <w:p w14:paraId="531BA96D">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宋体" w:hAnsi="宋体" w:eastAsia="方正仿宋_GBK" w:cs="方正仿宋_GBK"/>
                <w:color w:val="000000"/>
                <w:kern w:val="0"/>
                <w:sz w:val="24"/>
                <w:szCs w:val="24"/>
                <w:lang w:val="en-US" w:eastAsia="zh-CN"/>
              </w:rPr>
            </w:pPr>
            <w:r>
              <w:rPr>
                <w:rFonts w:hint="eastAsia" w:ascii="宋体" w:hAnsi="宋体" w:eastAsia="方正仿宋_GBK" w:cs="方正仿宋_GBK"/>
                <w:color w:val="000000"/>
                <w:kern w:val="0"/>
                <w:sz w:val="24"/>
                <w:szCs w:val="24"/>
                <w:lang w:val="en-US" w:eastAsia="zh-CN"/>
              </w:rPr>
              <w:t>2</w:t>
            </w:r>
          </w:p>
        </w:tc>
        <w:tc>
          <w:tcPr>
            <w:tcW w:w="774" w:type="dxa"/>
            <w:tcBorders>
              <w:tl2br w:val="nil"/>
              <w:tr2bl w:val="nil"/>
            </w:tcBorders>
            <w:noWrap w:val="0"/>
            <w:vAlign w:val="center"/>
          </w:tcPr>
          <w:p w14:paraId="4E50E255">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宋体" w:hAnsi="宋体" w:eastAsia="方正仿宋_GBK" w:cs="方正仿宋_GBK"/>
                <w:color w:val="000000"/>
                <w:kern w:val="0"/>
                <w:sz w:val="24"/>
                <w:szCs w:val="24"/>
                <w:lang w:val="en-US" w:eastAsia="zh-CN"/>
              </w:rPr>
            </w:pPr>
            <w:r>
              <w:rPr>
                <w:rFonts w:hint="eastAsia" w:ascii="宋体" w:hAnsi="宋体" w:eastAsia="方正仿宋_GBK" w:cs="方正仿宋_GBK"/>
                <w:color w:val="000000"/>
                <w:kern w:val="0"/>
                <w:sz w:val="24"/>
                <w:szCs w:val="24"/>
                <w:lang w:val="en-US" w:eastAsia="zh-CN"/>
              </w:rPr>
              <w:t>0</w:t>
            </w:r>
          </w:p>
        </w:tc>
        <w:tc>
          <w:tcPr>
            <w:tcW w:w="831" w:type="dxa"/>
            <w:tcBorders>
              <w:tl2br w:val="nil"/>
              <w:tr2bl w:val="nil"/>
            </w:tcBorders>
            <w:noWrap w:val="0"/>
            <w:vAlign w:val="center"/>
          </w:tcPr>
          <w:p w14:paraId="082FF838">
            <w:pPr>
              <w:keepNext w:val="0"/>
              <w:keepLines w:val="0"/>
              <w:pageBreakBefore w:val="0"/>
              <w:widowControl/>
              <w:kinsoku/>
              <w:wordWrap/>
              <w:overflowPunct/>
              <w:topLinePunct w:val="0"/>
              <w:autoSpaceDE/>
              <w:autoSpaceDN/>
              <w:bidi w:val="0"/>
              <w:adjustRightInd/>
              <w:snapToGrid/>
              <w:spacing w:line="360" w:lineRule="exact"/>
              <w:textAlignment w:val="auto"/>
              <w:rPr>
                <w:rFonts w:hint="default" w:ascii="宋体" w:hAnsi="宋体" w:eastAsia="方正仿宋_GBK" w:cs="方正仿宋_GBK"/>
                <w:color w:val="000000"/>
                <w:kern w:val="0"/>
                <w:sz w:val="24"/>
                <w:szCs w:val="24"/>
                <w:lang w:val="en-US" w:eastAsia="zh-CN"/>
              </w:rPr>
            </w:pPr>
            <w:r>
              <w:rPr>
                <w:rFonts w:hint="eastAsia" w:ascii="宋体" w:hAnsi="宋体" w:eastAsia="方正仿宋_GBK" w:cs="方正仿宋_GBK"/>
                <w:color w:val="000000"/>
                <w:kern w:val="0"/>
                <w:sz w:val="24"/>
                <w:szCs w:val="24"/>
                <w:lang w:val="en-US" w:eastAsia="zh-CN"/>
              </w:rPr>
              <w:t>100</w:t>
            </w:r>
          </w:p>
        </w:tc>
        <w:tc>
          <w:tcPr>
            <w:tcW w:w="916" w:type="dxa"/>
            <w:tcBorders>
              <w:tl2br w:val="nil"/>
              <w:tr2bl w:val="nil"/>
            </w:tcBorders>
            <w:noWrap w:val="0"/>
            <w:vAlign w:val="center"/>
          </w:tcPr>
          <w:p w14:paraId="0CE64A6F">
            <w:pPr>
              <w:keepNext w:val="0"/>
              <w:keepLines w:val="0"/>
              <w:pageBreakBefore w:val="0"/>
              <w:widowControl/>
              <w:kinsoku/>
              <w:wordWrap/>
              <w:overflowPunct/>
              <w:topLinePunct w:val="0"/>
              <w:autoSpaceDE/>
              <w:autoSpaceDN/>
              <w:bidi w:val="0"/>
              <w:adjustRightInd/>
              <w:snapToGrid/>
              <w:spacing w:line="360" w:lineRule="exact"/>
              <w:textAlignment w:val="auto"/>
              <w:rPr>
                <w:rFonts w:hint="default" w:ascii="宋体" w:hAnsi="宋体" w:eastAsia="方正仿宋_GBK" w:cs="方正仿宋_GBK"/>
                <w:color w:val="000000"/>
                <w:kern w:val="0"/>
                <w:sz w:val="24"/>
                <w:szCs w:val="24"/>
                <w:lang w:val="en-US" w:eastAsia="zh-CN"/>
              </w:rPr>
            </w:pPr>
            <w:r>
              <w:rPr>
                <w:rFonts w:hint="eastAsia" w:ascii="宋体" w:hAnsi="宋体" w:eastAsia="方正仿宋_GBK" w:cs="方正仿宋_GBK"/>
                <w:color w:val="000000"/>
                <w:kern w:val="0"/>
                <w:sz w:val="24"/>
                <w:szCs w:val="24"/>
                <w:lang w:val="en-US" w:eastAsia="zh-CN"/>
              </w:rPr>
              <w:t>15</w:t>
            </w:r>
          </w:p>
        </w:tc>
        <w:tc>
          <w:tcPr>
            <w:tcW w:w="803" w:type="dxa"/>
            <w:tcBorders>
              <w:tl2br w:val="nil"/>
              <w:tr2bl w:val="nil"/>
            </w:tcBorders>
            <w:noWrap w:val="0"/>
            <w:vAlign w:val="center"/>
          </w:tcPr>
          <w:p w14:paraId="6779477B">
            <w:pPr>
              <w:keepNext w:val="0"/>
              <w:keepLines w:val="0"/>
              <w:pageBreakBefore w:val="0"/>
              <w:widowControl/>
              <w:kinsoku/>
              <w:wordWrap/>
              <w:overflowPunct/>
              <w:topLinePunct w:val="0"/>
              <w:autoSpaceDE/>
              <w:autoSpaceDN/>
              <w:bidi w:val="0"/>
              <w:adjustRightInd/>
              <w:snapToGrid/>
              <w:spacing w:line="360" w:lineRule="exact"/>
              <w:textAlignment w:val="auto"/>
              <w:rPr>
                <w:rFonts w:hint="default" w:ascii="宋体" w:hAnsi="宋体" w:eastAsia="方正仿宋_GBK" w:cs="方正仿宋_GBK"/>
                <w:color w:val="000000"/>
                <w:kern w:val="0"/>
                <w:sz w:val="24"/>
                <w:szCs w:val="24"/>
                <w:lang w:val="en-US" w:eastAsia="zh-CN"/>
              </w:rPr>
            </w:pPr>
            <w:r>
              <w:rPr>
                <w:rFonts w:hint="eastAsia" w:ascii="宋体" w:hAnsi="宋体" w:eastAsia="方正仿宋_GBK" w:cs="方正仿宋_GBK"/>
                <w:color w:val="000000"/>
                <w:kern w:val="0"/>
                <w:sz w:val="24"/>
                <w:szCs w:val="24"/>
                <w:lang w:val="en-US" w:eastAsia="zh-CN"/>
              </w:rPr>
              <w:t>15</w:t>
            </w:r>
          </w:p>
        </w:tc>
        <w:tc>
          <w:tcPr>
            <w:tcW w:w="1269" w:type="dxa"/>
            <w:tcBorders>
              <w:tl2br w:val="nil"/>
              <w:tr2bl w:val="nil"/>
            </w:tcBorders>
            <w:noWrap w:val="0"/>
            <w:vAlign w:val="center"/>
          </w:tcPr>
          <w:p w14:paraId="394BA82F">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宋体" w:hAnsi="宋体" w:eastAsia="方正仿宋_GBK" w:cs="方正仿宋_GBK"/>
                <w:color w:val="000000"/>
                <w:kern w:val="0"/>
                <w:sz w:val="24"/>
                <w:szCs w:val="24"/>
              </w:rPr>
            </w:pPr>
          </w:p>
        </w:tc>
      </w:tr>
      <w:tr w14:paraId="1ACB0D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847" w:type="dxa"/>
            <w:vMerge w:val="continue"/>
            <w:tcBorders>
              <w:tl2br w:val="nil"/>
              <w:tr2bl w:val="nil"/>
            </w:tcBorders>
            <w:noWrap w:val="0"/>
            <w:vAlign w:val="center"/>
          </w:tcPr>
          <w:p w14:paraId="5DE90F86">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方正仿宋_GBK" w:hAnsi="方正仿宋_GBK" w:eastAsia="方正仿宋_GBK" w:cs="方正仿宋_GBK"/>
                <w:color w:val="000000"/>
                <w:kern w:val="0"/>
                <w:sz w:val="24"/>
                <w:szCs w:val="24"/>
                <w:lang w:val="en-US" w:eastAsia="zh-CN"/>
              </w:rPr>
            </w:pPr>
          </w:p>
        </w:tc>
        <w:tc>
          <w:tcPr>
            <w:tcW w:w="1175" w:type="dxa"/>
            <w:tcBorders>
              <w:tl2br w:val="nil"/>
              <w:tr2bl w:val="nil"/>
            </w:tcBorders>
            <w:noWrap w:val="0"/>
            <w:vAlign w:val="center"/>
          </w:tcPr>
          <w:p w14:paraId="571FDB80">
            <w:pPr>
              <w:keepNext w:val="0"/>
              <w:keepLines w:val="0"/>
              <w:pageBreakBefore w:val="0"/>
              <w:widowControl/>
              <w:kinsoku/>
              <w:wordWrap/>
              <w:overflowPunct/>
              <w:topLinePunct w:val="0"/>
              <w:autoSpaceDE/>
              <w:autoSpaceDN/>
              <w:bidi w:val="0"/>
              <w:adjustRightInd/>
              <w:snapToGrid/>
              <w:spacing w:line="340" w:lineRule="exact"/>
              <w:textAlignment w:val="auto"/>
              <w:rPr>
                <w:rFonts w:hint="eastAsia" w:ascii="宋体" w:hAnsi="宋体" w:eastAsia="方正仿宋_GBK" w:cs="方正仿宋_GBK"/>
                <w:color w:val="000000"/>
                <w:kern w:val="0"/>
                <w:sz w:val="21"/>
                <w:szCs w:val="21"/>
              </w:rPr>
            </w:pPr>
            <w:r>
              <w:rPr>
                <w:rFonts w:hint="eastAsia" w:ascii="宋体" w:hAnsi="宋体" w:eastAsia="方正仿宋_GBK" w:cs="方正仿宋_GBK"/>
                <w:color w:val="000000"/>
                <w:kern w:val="0"/>
                <w:sz w:val="21"/>
                <w:szCs w:val="21"/>
              </w:rPr>
              <w:t>保障正常办公率</w:t>
            </w:r>
          </w:p>
        </w:tc>
        <w:tc>
          <w:tcPr>
            <w:tcW w:w="455" w:type="dxa"/>
            <w:tcBorders>
              <w:tl2br w:val="nil"/>
              <w:tr2bl w:val="nil"/>
            </w:tcBorders>
            <w:noWrap w:val="0"/>
            <w:vAlign w:val="center"/>
          </w:tcPr>
          <w:p w14:paraId="12B97238">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w:t>
            </w:r>
          </w:p>
        </w:tc>
        <w:tc>
          <w:tcPr>
            <w:tcW w:w="909" w:type="dxa"/>
            <w:tcBorders>
              <w:tl2br w:val="nil"/>
              <w:tr2bl w:val="nil"/>
            </w:tcBorders>
            <w:noWrap w:val="0"/>
            <w:vAlign w:val="center"/>
          </w:tcPr>
          <w:p w14:paraId="6000FAA7">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w:t>
            </w:r>
          </w:p>
        </w:tc>
        <w:tc>
          <w:tcPr>
            <w:tcW w:w="1311" w:type="dxa"/>
            <w:tcBorders>
              <w:tl2br w:val="nil"/>
              <w:tr2bl w:val="nil"/>
            </w:tcBorders>
            <w:noWrap w:val="0"/>
            <w:vAlign w:val="center"/>
          </w:tcPr>
          <w:p w14:paraId="6D4793E8">
            <w:pPr>
              <w:keepNext w:val="0"/>
              <w:keepLines w:val="0"/>
              <w:pageBreakBefore w:val="0"/>
              <w:widowControl/>
              <w:kinsoku/>
              <w:wordWrap/>
              <w:overflowPunct/>
              <w:topLinePunct w:val="0"/>
              <w:autoSpaceDE/>
              <w:autoSpaceDN/>
              <w:bidi w:val="0"/>
              <w:adjustRightInd/>
              <w:snapToGrid/>
              <w:spacing w:line="360" w:lineRule="exact"/>
              <w:textAlignment w:val="auto"/>
              <w:rPr>
                <w:rFonts w:hint="default" w:ascii="宋体" w:hAnsi="宋体" w:eastAsia="方正仿宋_GBK" w:cs="方正仿宋_GBK"/>
                <w:color w:val="000000"/>
                <w:kern w:val="0"/>
                <w:sz w:val="24"/>
                <w:szCs w:val="24"/>
                <w:lang w:val="en-US" w:eastAsia="zh-CN"/>
              </w:rPr>
            </w:pPr>
            <w:r>
              <w:rPr>
                <w:rFonts w:hint="eastAsia" w:ascii="宋体" w:hAnsi="宋体" w:eastAsia="方正仿宋_GBK" w:cs="方正仿宋_GBK"/>
                <w:color w:val="000000"/>
                <w:kern w:val="0"/>
                <w:sz w:val="24"/>
                <w:szCs w:val="24"/>
                <w:lang w:val="en-US" w:eastAsia="zh-CN"/>
              </w:rPr>
              <w:t>90</w:t>
            </w:r>
          </w:p>
        </w:tc>
        <w:tc>
          <w:tcPr>
            <w:tcW w:w="842" w:type="dxa"/>
            <w:tcBorders>
              <w:tl2br w:val="nil"/>
              <w:tr2bl w:val="nil"/>
            </w:tcBorders>
            <w:noWrap w:val="0"/>
            <w:vAlign w:val="center"/>
          </w:tcPr>
          <w:p w14:paraId="6B62EB97">
            <w:pPr>
              <w:keepNext w:val="0"/>
              <w:keepLines w:val="0"/>
              <w:pageBreakBefore w:val="0"/>
              <w:widowControl/>
              <w:kinsoku/>
              <w:wordWrap/>
              <w:overflowPunct/>
              <w:topLinePunct w:val="0"/>
              <w:autoSpaceDE/>
              <w:autoSpaceDN/>
              <w:bidi w:val="0"/>
              <w:adjustRightInd/>
              <w:snapToGrid/>
              <w:spacing w:line="360" w:lineRule="exact"/>
              <w:textAlignment w:val="auto"/>
              <w:rPr>
                <w:rFonts w:hint="default" w:ascii="宋体" w:hAnsi="宋体" w:eastAsia="方正仿宋_GBK" w:cs="方正仿宋_GBK"/>
                <w:color w:val="000000"/>
                <w:kern w:val="0"/>
                <w:sz w:val="24"/>
                <w:szCs w:val="24"/>
                <w:lang w:val="en-US" w:eastAsia="zh-CN"/>
              </w:rPr>
            </w:pPr>
            <w:r>
              <w:rPr>
                <w:rFonts w:hint="eastAsia" w:ascii="宋体" w:hAnsi="宋体" w:eastAsia="方正仿宋_GBK" w:cs="方正仿宋_GBK"/>
                <w:color w:val="000000"/>
                <w:kern w:val="0"/>
                <w:sz w:val="24"/>
                <w:szCs w:val="24"/>
                <w:lang w:val="en-US" w:eastAsia="zh-CN"/>
              </w:rPr>
              <w:t>90</w:t>
            </w:r>
          </w:p>
        </w:tc>
        <w:tc>
          <w:tcPr>
            <w:tcW w:w="774" w:type="dxa"/>
            <w:tcBorders>
              <w:tl2br w:val="nil"/>
              <w:tr2bl w:val="nil"/>
            </w:tcBorders>
            <w:noWrap w:val="0"/>
            <w:vAlign w:val="center"/>
          </w:tcPr>
          <w:p w14:paraId="7C68ED17">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宋体" w:hAnsi="宋体" w:eastAsia="方正仿宋_GBK" w:cs="方正仿宋_GBK"/>
                <w:color w:val="000000"/>
                <w:kern w:val="0"/>
                <w:sz w:val="24"/>
                <w:szCs w:val="24"/>
                <w:lang w:val="en-US" w:eastAsia="zh-CN"/>
              </w:rPr>
            </w:pPr>
            <w:r>
              <w:rPr>
                <w:rFonts w:hint="eastAsia" w:ascii="宋体" w:hAnsi="宋体" w:eastAsia="方正仿宋_GBK" w:cs="方正仿宋_GBK"/>
                <w:color w:val="000000"/>
                <w:kern w:val="0"/>
                <w:sz w:val="24"/>
                <w:szCs w:val="24"/>
                <w:lang w:val="en-US" w:eastAsia="zh-CN"/>
              </w:rPr>
              <w:t>0</w:t>
            </w:r>
          </w:p>
        </w:tc>
        <w:tc>
          <w:tcPr>
            <w:tcW w:w="831" w:type="dxa"/>
            <w:tcBorders>
              <w:tl2br w:val="nil"/>
              <w:tr2bl w:val="nil"/>
            </w:tcBorders>
            <w:noWrap w:val="0"/>
            <w:vAlign w:val="center"/>
          </w:tcPr>
          <w:p w14:paraId="1CAB2EA7">
            <w:pPr>
              <w:keepNext w:val="0"/>
              <w:keepLines w:val="0"/>
              <w:pageBreakBefore w:val="0"/>
              <w:widowControl/>
              <w:kinsoku/>
              <w:wordWrap/>
              <w:overflowPunct/>
              <w:topLinePunct w:val="0"/>
              <w:autoSpaceDE/>
              <w:autoSpaceDN/>
              <w:bidi w:val="0"/>
              <w:adjustRightInd/>
              <w:snapToGrid/>
              <w:spacing w:line="360" w:lineRule="exact"/>
              <w:textAlignment w:val="auto"/>
              <w:rPr>
                <w:rFonts w:hint="default" w:ascii="宋体" w:hAnsi="宋体" w:eastAsia="方正仿宋_GBK" w:cs="方正仿宋_GBK"/>
                <w:color w:val="000000"/>
                <w:kern w:val="0"/>
                <w:sz w:val="24"/>
                <w:szCs w:val="24"/>
                <w:lang w:val="en-US" w:eastAsia="zh-CN"/>
              </w:rPr>
            </w:pPr>
            <w:r>
              <w:rPr>
                <w:rFonts w:hint="eastAsia" w:ascii="宋体" w:hAnsi="宋体" w:eastAsia="方正仿宋_GBK" w:cs="方正仿宋_GBK"/>
                <w:color w:val="000000"/>
                <w:kern w:val="0"/>
                <w:sz w:val="24"/>
                <w:szCs w:val="24"/>
                <w:lang w:val="en-US" w:eastAsia="zh-CN"/>
              </w:rPr>
              <w:t>100</w:t>
            </w:r>
          </w:p>
        </w:tc>
        <w:tc>
          <w:tcPr>
            <w:tcW w:w="916" w:type="dxa"/>
            <w:tcBorders>
              <w:tl2br w:val="nil"/>
              <w:tr2bl w:val="nil"/>
            </w:tcBorders>
            <w:noWrap w:val="0"/>
            <w:vAlign w:val="center"/>
          </w:tcPr>
          <w:p w14:paraId="175472CB">
            <w:pPr>
              <w:keepNext w:val="0"/>
              <w:keepLines w:val="0"/>
              <w:pageBreakBefore w:val="0"/>
              <w:widowControl/>
              <w:kinsoku/>
              <w:wordWrap/>
              <w:overflowPunct/>
              <w:topLinePunct w:val="0"/>
              <w:autoSpaceDE/>
              <w:autoSpaceDN/>
              <w:bidi w:val="0"/>
              <w:adjustRightInd/>
              <w:snapToGrid/>
              <w:spacing w:line="360" w:lineRule="exact"/>
              <w:textAlignment w:val="auto"/>
              <w:rPr>
                <w:rFonts w:hint="default" w:ascii="宋体" w:hAnsi="宋体" w:eastAsia="方正仿宋_GBK" w:cs="方正仿宋_GBK"/>
                <w:color w:val="000000"/>
                <w:kern w:val="0"/>
                <w:sz w:val="24"/>
                <w:szCs w:val="24"/>
                <w:lang w:val="en-US" w:eastAsia="zh-CN"/>
              </w:rPr>
            </w:pPr>
            <w:r>
              <w:rPr>
                <w:rFonts w:hint="eastAsia" w:ascii="宋体" w:hAnsi="宋体" w:eastAsia="方正仿宋_GBK" w:cs="方正仿宋_GBK"/>
                <w:color w:val="000000"/>
                <w:kern w:val="0"/>
                <w:sz w:val="24"/>
                <w:szCs w:val="24"/>
                <w:lang w:val="en-US" w:eastAsia="zh-CN"/>
              </w:rPr>
              <w:t>15</w:t>
            </w:r>
          </w:p>
        </w:tc>
        <w:tc>
          <w:tcPr>
            <w:tcW w:w="803" w:type="dxa"/>
            <w:tcBorders>
              <w:tl2br w:val="nil"/>
              <w:tr2bl w:val="nil"/>
            </w:tcBorders>
            <w:noWrap w:val="0"/>
            <w:vAlign w:val="center"/>
          </w:tcPr>
          <w:p w14:paraId="2588E52F">
            <w:pPr>
              <w:keepNext w:val="0"/>
              <w:keepLines w:val="0"/>
              <w:pageBreakBefore w:val="0"/>
              <w:widowControl/>
              <w:kinsoku/>
              <w:wordWrap/>
              <w:overflowPunct/>
              <w:topLinePunct w:val="0"/>
              <w:autoSpaceDE/>
              <w:autoSpaceDN/>
              <w:bidi w:val="0"/>
              <w:adjustRightInd/>
              <w:snapToGrid/>
              <w:spacing w:line="360" w:lineRule="exact"/>
              <w:textAlignment w:val="auto"/>
              <w:rPr>
                <w:rFonts w:hint="default" w:ascii="宋体" w:hAnsi="宋体" w:eastAsia="方正仿宋_GBK" w:cs="方正仿宋_GBK"/>
                <w:color w:val="000000"/>
                <w:kern w:val="0"/>
                <w:sz w:val="24"/>
                <w:szCs w:val="24"/>
                <w:lang w:val="en-US" w:eastAsia="zh-CN"/>
              </w:rPr>
            </w:pPr>
            <w:r>
              <w:rPr>
                <w:rFonts w:hint="eastAsia" w:ascii="宋体" w:hAnsi="宋体" w:eastAsia="方正仿宋_GBK" w:cs="方正仿宋_GBK"/>
                <w:color w:val="000000"/>
                <w:kern w:val="0"/>
                <w:sz w:val="24"/>
                <w:szCs w:val="24"/>
                <w:lang w:val="en-US" w:eastAsia="zh-CN"/>
              </w:rPr>
              <w:t>15</w:t>
            </w:r>
          </w:p>
        </w:tc>
        <w:tc>
          <w:tcPr>
            <w:tcW w:w="1269" w:type="dxa"/>
            <w:tcBorders>
              <w:tl2br w:val="nil"/>
              <w:tr2bl w:val="nil"/>
            </w:tcBorders>
            <w:noWrap w:val="0"/>
            <w:vAlign w:val="center"/>
          </w:tcPr>
          <w:p w14:paraId="08C89D8C">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宋体" w:hAnsi="宋体" w:eastAsia="方正仿宋_GBK" w:cs="方正仿宋_GBK"/>
                <w:color w:val="000000"/>
                <w:kern w:val="0"/>
                <w:sz w:val="24"/>
                <w:szCs w:val="24"/>
              </w:rPr>
            </w:pPr>
          </w:p>
        </w:tc>
      </w:tr>
      <w:tr w14:paraId="052C9A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847" w:type="dxa"/>
            <w:vMerge w:val="continue"/>
            <w:tcBorders>
              <w:tl2br w:val="nil"/>
              <w:tr2bl w:val="nil"/>
            </w:tcBorders>
            <w:noWrap w:val="0"/>
            <w:vAlign w:val="center"/>
          </w:tcPr>
          <w:p w14:paraId="42885FAA">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方正仿宋_GBK" w:hAnsi="方正仿宋_GBK" w:eastAsia="方正仿宋_GBK" w:cs="方正仿宋_GBK"/>
                <w:color w:val="000000"/>
                <w:kern w:val="0"/>
                <w:sz w:val="24"/>
                <w:szCs w:val="24"/>
              </w:rPr>
            </w:pPr>
          </w:p>
        </w:tc>
        <w:tc>
          <w:tcPr>
            <w:tcW w:w="1175" w:type="dxa"/>
            <w:tcBorders>
              <w:tl2br w:val="nil"/>
              <w:tr2bl w:val="nil"/>
            </w:tcBorders>
            <w:noWrap w:val="0"/>
            <w:vAlign w:val="center"/>
          </w:tcPr>
          <w:p w14:paraId="491D7A83">
            <w:pPr>
              <w:keepNext w:val="0"/>
              <w:keepLines w:val="0"/>
              <w:pageBreakBefore w:val="0"/>
              <w:widowControl/>
              <w:kinsoku/>
              <w:wordWrap/>
              <w:overflowPunct/>
              <w:topLinePunct w:val="0"/>
              <w:autoSpaceDE/>
              <w:autoSpaceDN/>
              <w:bidi w:val="0"/>
              <w:adjustRightInd/>
              <w:snapToGrid/>
              <w:spacing w:line="340" w:lineRule="exact"/>
              <w:textAlignment w:val="auto"/>
              <w:rPr>
                <w:rFonts w:hint="eastAsia" w:ascii="宋体" w:hAnsi="宋体" w:eastAsia="方正仿宋_GBK" w:cs="方正仿宋_GBK"/>
                <w:color w:val="000000"/>
                <w:kern w:val="0"/>
                <w:sz w:val="21"/>
                <w:szCs w:val="21"/>
              </w:rPr>
            </w:pPr>
            <w:r>
              <w:rPr>
                <w:rFonts w:hint="eastAsia" w:ascii="宋体" w:hAnsi="宋体" w:eastAsia="方正仿宋_GBK" w:cs="方正仿宋_GBK"/>
                <w:color w:val="000000"/>
                <w:kern w:val="0"/>
                <w:sz w:val="21"/>
                <w:szCs w:val="21"/>
              </w:rPr>
              <w:t>宣传政策知晓率</w:t>
            </w:r>
          </w:p>
        </w:tc>
        <w:tc>
          <w:tcPr>
            <w:tcW w:w="455" w:type="dxa"/>
            <w:tcBorders>
              <w:tl2br w:val="nil"/>
              <w:tr2bl w:val="nil"/>
            </w:tcBorders>
            <w:noWrap w:val="0"/>
            <w:vAlign w:val="center"/>
          </w:tcPr>
          <w:p w14:paraId="642C64D9">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w:t>
            </w:r>
          </w:p>
        </w:tc>
        <w:tc>
          <w:tcPr>
            <w:tcW w:w="909" w:type="dxa"/>
            <w:tcBorders>
              <w:tl2br w:val="nil"/>
              <w:tr2bl w:val="nil"/>
            </w:tcBorders>
            <w:noWrap w:val="0"/>
            <w:vAlign w:val="center"/>
          </w:tcPr>
          <w:p w14:paraId="4D4C73B0">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w:t>
            </w:r>
          </w:p>
        </w:tc>
        <w:tc>
          <w:tcPr>
            <w:tcW w:w="1311" w:type="dxa"/>
            <w:tcBorders>
              <w:tl2br w:val="nil"/>
              <w:tr2bl w:val="nil"/>
            </w:tcBorders>
            <w:noWrap w:val="0"/>
            <w:vAlign w:val="center"/>
          </w:tcPr>
          <w:p w14:paraId="3274CB8E">
            <w:pPr>
              <w:keepNext w:val="0"/>
              <w:keepLines w:val="0"/>
              <w:pageBreakBefore w:val="0"/>
              <w:widowControl/>
              <w:kinsoku/>
              <w:wordWrap/>
              <w:overflowPunct/>
              <w:topLinePunct w:val="0"/>
              <w:autoSpaceDE/>
              <w:autoSpaceDN/>
              <w:bidi w:val="0"/>
              <w:adjustRightInd/>
              <w:snapToGrid/>
              <w:spacing w:line="360" w:lineRule="exact"/>
              <w:textAlignment w:val="auto"/>
              <w:rPr>
                <w:rFonts w:hint="default" w:ascii="宋体" w:hAnsi="宋体" w:eastAsia="方正仿宋_GBK" w:cs="方正仿宋_GBK"/>
                <w:color w:val="000000"/>
                <w:kern w:val="0"/>
                <w:sz w:val="24"/>
                <w:szCs w:val="24"/>
                <w:lang w:val="en-US" w:eastAsia="zh-CN"/>
              </w:rPr>
            </w:pPr>
            <w:r>
              <w:rPr>
                <w:rFonts w:hint="eastAsia" w:ascii="宋体" w:hAnsi="宋体" w:eastAsia="方正仿宋_GBK" w:cs="方正仿宋_GBK"/>
                <w:color w:val="000000"/>
                <w:kern w:val="0"/>
                <w:sz w:val="24"/>
                <w:szCs w:val="24"/>
                <w:lang w:val="en-US" w:eastAsia="zh-CN"/>
              </w:rPr>
              <w:t>80</w:t>
            </w:r>
          </w:p>
        </w:tc>
        <w:tc>
          <w:tcPr>
            <w:tcW w:w="842" w:type="dxa"/>
            <w:tcBorders>
              <w:tl2br w:val="nil"/>
              <w:tr2bl w:val="nil"/>
            </w:tcBorders>
            <w:noWrap w:val="0"/>
            <w:vAlign w:val="center"/>
          </w:tcPr>
          <w:p w14:paraId="4D6C293E">
            <w:pPr>
              <w:keepNext w:val="0"/>
              <w:keepLines w:val="0"/>
              <w:pageBreakBefore w:val="0"/>
              <w:widowControl/>
              <w:kinsoku/>
              <w:wordWrap/>
              <w:overflowPunct/>
              <w:topLinePunct w:val="0"/>
              <w:autoSpaceDE/>
              <w:autoSpaceDN/>
              <w:bidi w:val="0"/>
              <w:adjustRightInd/>
              <w:snapToGrid/>
              <w:spacing w:line="360" w:lineRule="exact"/>
              <w:textAlignment w:val="auto"/>
              <w:rPr>
                <w:rFonts w:hint="default" w:ascii="宋体" w:hAnsi="宋体" w:eastAsia="方正仿宋_GBK" w:cs="方正仿宋_GBK"/>
                <w:color w:val="000000"/>
                <w:kern w:val="0"/>
                <w:sz w:val="24"/>
                <w:szCs w:val="24"/>
                <w:lang w:val="en-US" w:eastAsia="zh-CN"/>
              </w:rPr>
            </w:pPr>
            <w:r>
              <w:rPr>
                <w:rFonts w:hint="eastAsia" w:ascii="宋体" w:hAnsi="宋体" w:eastAsia="方正仿宋_GBK" w:cs="方正仿宋_GBK"/>
                <w:color w:val="000000"/>
                <w:kern w:val="0"/>
                <w:sz w:val="24"/>
                <w:szCs w:val="24"/>
                <w:lang w:val="en-US" w:eastAsia="zh-CN"/>
              </w:rPr>
              <w:t>90</w:t>
            </w:r>
          </w:p>
        </w:tc>
        <w:tc>
          <w:tcPr>
            <w:tcW w:w="774" w:type="dxa"/>
            <w:tcBorders>
              <w:tl2br w:val="nil"/>
              <w:tr2bl w:val="nil"/>
            </w:tcBorders>
            <w:noWrap w:val="0"/>
            <w:vAlign w:val="center"/>
          </w:tcPr>
          <w:p w14:paraId="4B576E52">
            <w:pPr>
              <w:keepNext w:val="0"/>
              <w:keepLines w:val="0"/>
              <w:pageBreakBefore w:val="0"/>
              <w:widowControl/>
              <w:kinsoku/>
              <w:wordWrap/>
              <w:overflowPunct/>
              <w:topLinePunct w:val="0"/>
              <w:autoSpaceDE/>
              <w:autoSpaceDN/>
              <w:bidi w:val="0"/>
              <w:adjustRightInd/>
              <w:snapToGrid/>
              <w:spacing w:line="360" w:lineRule="exact"/>
              <w:textAlignment w:val="auto"/>
              <w:rPr>
                <w:rFonts w:hint="default" w:ascii="宋体" w:hAnsi="宋体" w:eastAsia="方正仿宋_GBK" w:cs="方正仿宋_GBK"/>
                <w:color w:val="000000"/>
                <w:kern w:val="0"/>
                <w:sz w:val="24"/>
                <w:szCs w:val="24"/>
                <w:lang w:val="en-US" w:eastAsia="zh-CN"/>
              </w:rPr>
            </w:pPr>
            <w:r>
              <w:rPr>
                <w:rFonts w:hint="eastAsia" w:ascii="宋体" w:hAnsi="宋体" w:eastAsia="方正仿宋_GBK" w:cs="方正仿宋_GBK"/>
                <w:color w:val="000000"/>
                <w:kern w:val="0"/>
                <w:sz w:val="24"/>
                <w:szCs w:val="24"/>
                <w:lang w:val="en-US" w:eastAsia="zh-CN"/>
              </w:rPr>
              <w:t>12.5</w:t>
            </w:r>
          </w:p>
        </w:tc>
        <w:tc>
          <w:tcPr>
            <w:tcW w:w="831" w:type="dxa"/>
            <w:tcBorders>
              <w:tl2br w:val="nil"/>
              <w:tr2bl w:val="nil"/>
            </w:tcBorders>
            <w:noWrap w:val="0"/>
            <w:vAlign w:val="center"/>
          </w:tcPr>
          <w:p w14:paraId="39F2BE21">
            <w:pPr>
              <w:keepNext w:val="0"/>
              <w:keepLines w:val="0"/>
              <w:pageBreakBefore w:val="0"/>
              <w:widowControl/>
              <w:kinsoku/>
              <w:wordWrap/>
              <w:overflowPunct/>
              <w:topLinePunct w:val="0"/>
              <w:autoSpaceDE/>
              <w:autoSpaceDN/>
              <w:bidi w:val="0"/>
              <w:adjustRightInd/>
              <w:snapToGrid/>
              <w:spacing w:line="360" w:lineRule="exact"/>
              <w:textAlignment w:val="auto"/>
              <w:rPr>
                <w:rFonts w:hint="default" w:ascii="宋体" w:hAnsi="宋体" w:eastAsia="方正仿宋_GBK" w:cs="方正仿宋_GBK"/>
                <w:color w:val="000000"/>
                <w:kern w:val="0"/>
                <w:sz w:val="24"/>
                <w:szCs w:val="24"/>
                <w:lang w:val="en-US" w:eastAsia="zh-CN"/>
              </w:rPr>
            </w:pPr>
            <w:r>
              <w:rPr>
                <w:rFonts w:hint="eastAsia" w:ascii="宋体" w:hAnsi="宋体" w:eastAsia="方正仿宋_GBK" w:cs="方正仿宋_GBK"/>
                <w:color w:val="000000"/>
                <w:kern w:val="0"/>
                <w:sz w:val="24"/>
                <w:szCs w:val="24"/>
                <w:lang w:val="en-US" w:eastAsia="zh-CN"/>
              </w:rPr>
              <w:t>100</w:t>
            </w:r>
          </w:p>
        </w:tc>
        <w:tc>
          <w:tcPr>
            <w:tcW w:w="916" w:type="dxa"/>
            <w:tcBorders>
              <w:tl2br w:val="nil"/>
              <w:tr2bl w:val="nil"/>
            </w:tcBorders>
            <w:noWrap w:val="0"/>
            <w:vAlign w:val="center"/>
          </w:tcPr>
          <w:p w14:paraId="0AD2733E">
            <w:pPr>
              <w:keepNext w:val="0"/>
              <w:keepLines w:val="0"/>
              <w:pageBreakBefore w:val="0"/>
              <w:widowControl/>
              <w:kinsoku/>
              <w:wordWrap/>
              <w:overflowPunct/>
              <w:topLinePunct w:val="0"/>
              <w:autoSpaceDE/>
              <w:autoSpaceDN/>
              <w:bidi w:val="0"/>
              <w:adjustRightInd/>
              <w:snapToGrid/>
              <w:spacing w:line="360" w:lineRule="exact"/>
              <w:textAlignment w:val="auto"/>
              <w:rPr>
                <w:rFonts w:hint="default" w:ascii="宋体" w:hAnsi="宋体" w:eastAsia="方正仿宋_GBK" w:cs="方正仿宋_GBK"/>
                <w:color w:val="000000"/>
                <w:kern w:val="0"/>
                <w:sz w:val="24"/>
                <w:szCs w:val="24"/>
                <w:lang w:val="en-US" w:eastAsia="zh-CN"/>
              </w:rPr>
            </w:pPr>
            <w:r>
              <w:rPr>
                <w:rFonts w:hint="eastAsia" w:ascii="宋体" w:hAnsi="宋体" w:eastAsia="方正仿宋_GBK" w:cs="方正仿宋_GBK"/>
                <w:color w:val="000000"/>
                <w:kern w:val="0"/>
                <w:sz w:val="24"/>
                <w:szCs w:val="24"/>
                <w:lang w:val="en-US" w:eastAsia="zh-CN"/>
              </w:rPr>
              <w:t>10</w:t>
            </w:r>
          </w:p>
        </w:tc>
        <w:tc>
          <w:tcPr>
            <w:tcW w:w="803" w:type="dxa"/>
            <w:tcBorders>
              <w:tl2br w:val="nil"/>
              <w:tr2bl w:val="nil"/>
            </w:tcBorders>
            <w:noWrap w:val="0"/>
            <w:vAlign w:val="center"/>
          </w:tcPr>
          <w:p w14:paraId="31CA568B">
            <w:pPr>
              <w:keepNext w:val="0"/>
              <w:keepLines w:val="0"/>
              <w:pageBreakBefore w:val="0"/>
              <w:widowControl/>
              <w:kinsoku/>
              <w:wordWrap/>
              <w:overflowPunct/>
              <w:topLinePunct w:val="0"/>
              <w:autoSpaceDE/>
              <w:autoSpaceDN/>
              <w:bidi w:val="0"/>
              <w:adjustRightInd/>
              <w:snapToGrid/>
              <w:spacing w:line="360" w:lineRule="exact"/>
              <w:textAlignment w:val="auto"/>
              <w:rPr>
                <w:rFonts w:hint="default" w:ascii="宋体" w:hAnsi="宋体" w:eastAsia="方正仿宋_GBK" w:cs="方正仿宋_GBK"/>
                <w:color w:val="000000"/>
                <w:kern w:val="0"/>
                <w:sz w:val="24"/>
                <w:szCs w:val="24"/>
                <w:lang w:val="en-US" w:eastAsia="zh-CN"/>
              </w:rPr>
            </w:pPr>
            <w:r>
              <w:rPr>
                <w:rFonts w:hint="eastAsia" w:ascii="宋体" w:hAnsi="宋体" w:eastAsia="方正仿宋_GBK" w:cs="方正仿宋_GBK"/>
                <w:color w:val="000000"/>
                <w:kern w:val="0"/>
                <w:sz w:val="24"/>
                <w:szCs w:val="24"/>
                <w:lang w:val="en-US" w:eastAsia="zh-CN"/>
              </w:rPr>
              <w:t>10</w:t>
            </w:r>
          </w:p>
        </w:tc>
        <w:tc>
          <w:tcPr>
            <w:tcW w:w="1269" w:type="dxa"/>
            <w:tcBorders>
              <w:tl2br w:val="nil"/>
              <w:tr2bl w:val="nil"/>
            </w:tcBorders>
            <w:noWrap w:val="0"/>
            <w:vAlign w:val="center"/>
          </w:tcPr>
          <w:p w14:paraId="33268C97">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宋体" w:hAnsi="宋体" w:eastAsia="方正仿宋_GBK" w:cs="方正仿宋_GBK"/>
                <w:color w:val="000000"/>
                <w:kern w:val="0"/>
                <w:sz w:val="24"/>
                <w:szCs w:val="24"/>
              </w:rPr>
            </w:pPr>
          </w:p>
        </w:tc>
      </w:tr>
      <w:tr w14:paraId="62C5FB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847" w:type="dxa"/>
            <w:vMerge w:val="continue"/>
            <w:tcBorders>
              <w:tl2br w:val="nil"/>
              <w:tr2bl w:val="nil"/>
            </w:tcBorders>
            <w:noWrap w:val="0"/>
            <w:vAlign w:val="center"/>
          </w:tcPr>
          <w:p w14:paraId="6A788BE4">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方正仿宋_GBK" w:hAnsi="方正仿宋_GBK" w:eastAsia="方正仿宋_GBK" w:cs="方正仿宋_GBK"/>
                <w:color w:val="000000"/>
                <w:kern w:val="0"/>
                <w:sz w:val="24"/>
                <w:szCs w:val="24"/>
              </w:rPr>
            </w:pPr>
          </w:p>
        </w:tc>
        <w:tc>
          <w:tcPr>
            <w:tcW w:w="1175" w:type="dxa"/>
            <w:tcBorders>
              <w:tl2br w:val="nil"/>
              <w:tr2bl w:val="nil"/>
            </w:tcBorders>
            <w:noWrap w:val="0"/>
            <w:vAlign w:val="center"/>
          </w:tcPr>
          <w:p w14:paraId="1199BFA0">
            <w:pPr>
              <w:keepNext w:val="0"/>
              <w:keepLines w:val="0"/>
              <w:pageBreakBefore w:val="0"/>
              <w:widowControl/>
              <w:kinsoku/>
              <w:wordWrap/>
              <w:overflowPunct/>
              <w:topLinePunct w:val="0"/>
              <w:autoSpaceDE/>
              <w:autoSpaceDN/>
              <w:bidi w:val="0"/>
              <w:adjustRightInd/>
              <w:snapToGrid/>
              <w:spacing w:line="340" w:lineRule="exact"/>
              <w:textAlignment w:val="auto"/>
              <w:rPr>
                <w:rFonts w:hint="eastAsia" w:ascii="宋体" w:hAnsi="宋体" w:eastAsia="方正仿宋_GBK" w:cs="方正仿宋_GBK"/>
                <w:color w:val="000000"/>
                <w:kern w:val="0"/>
                <w:sz w:val="21"/>
                <w:szCs w:val="21"/>
              </w:rPr>
            </w:pPr>
            <w:r>
              <w:rPr>
                <w:rFonts w:hint="eastAsia" w:ascii="宋体" w:hAnsi="宋体" w:eastAsia="方正仿宋_GBK" w:cs="方正仿宋_GBK"/>
                <w:color w:val="000000"/>
                <w:kern w:val="0"/>
                <w:sz w:val="21"/>
                <w:szCs w:val="21"/>
              </w:rPr>
              <w:t>服务对象满意度指标</w:t>
            </w:r>
          </w:p>
        </w:tc>
        <w:tc>
          <w:tcPr>
            <w:tcW w:w="455" w:type="dxa"/>
            <w:tcBorders>
              <w:tl2br w:val="nil"/>
              <w:tr2bl w:val="nil"/>
            </w:tcBorders>
            <w:noWrap w:val="0"/>
            <w:vAlign w:val="center"/>
          </w:tcPr>
          <w:p w14:paraId="18303BA1">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w:t>
            </w:r>
          </w:p>
        </w:tc>
        <w:tc>
          <w:tcPr>
            <w:tcW w:w="909" w:type="dxa"/>
            <w:tcBorders>
              <w:tl2br w:val="nil"/>
              <w:tr2bl w:val="nil"/>
            </w:tcBorders>
            <w:noWrap w:val="0"/>
            <w:vAlign w:val="center"/>
          </w:tcPr>
          <w:p w14:paraId="4BEB4A26">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w:t>
            </w:r>
          </w:p>
        </w:tc>
        <w:tc>
          <w:tcPr>
            <w:tcW w:w="1311" w:type="dxa"/>
            <w:tcBorders>
              <w:tl2br w:val="nil"/>
              <w:tr2bl w:val="nil"/>
            </w:tcBorders>
            <w:noWrap w:val="0"/>
            <w:vAlign w:val="center"/>
          </w:tcPr>
          <w:p w14:paraId="770DCDA8">
            <w:pPr>
              <w:keepNext w:val="0"/>
              <w:keepLines w:val="0"/>
              <w:pageBreakBefore w:val="0"/>
              <w:widowControl/>
              <w:kinsoku/>
              <w:wordWrap/>
              <w:overflowPunct/>
              <w:topLinePunct w:val="0"/>
              <w:autoSpaceDE/>
              <w:autoSpaceDN/>
              <w:bidi w:val="0"/>
              <w:adjustRightInd/>
              <w:snapToGrid/>
              <w:spacing w:line="360" w:lineRule="exact"/>
              <w:textAlignment w:val="auto"/>
              <w:rPr>
                <w:rFonts w:hint="default" w:ascii="宋体" w:hAnsi="宋体" w:eastAsia="方正仿宋_GBK" w:cs="方正仿宋_GBK"/>
                <w:color w:val="000000"/>
                <w:kern w:val="0"/>
                <w:sz w:val="24"/>
                <w:szCs w:val="24"/>
                <w:lang w:val="en-US" w:eastAsia="zh-CN"/>
              </w:rPr>
            </w:pPr>
            <w:r>
              <w:rPr>
                <w:rFonts w:hint="eastAsia" w:ascii="宋体" w:hAnsi="宋体" w:eastAsia="方正仿宋_GBK" w:cs="方正仿宋_GBK"/>
                <w:color w:val="000000"/>
                <w:kern w:val="0"/>
                <w:sz w:val="24"/>
                <w:szCs w:val="24"/>
                <w:lang w:val="en-US" w:eastAsia="zh-CN"/>
              </w:rPr>
              <w:t>90</w:t>
            </w:r>
          </w:p>
        </w:tc>
        <w:tc>
          <w:tcPr>
            <w:tcW w:w="842" w:type="dxa"/>
            <w:tcBorders>
              <w:tl2br w:val="nil"/>
              <w:tr2bl w:val="nil"/>
            </w:tcBorders>
            <w:noWrap w:val="0"/>
            <w:vAlign w:val="center"/>
          </w:tcPr>
          <w:p w14:paraId="034D4002">
            <w:pPr>
              <w:keepNext w:val="0"/>
              <w:keepLines w:val="0"/>
              <w:pageBreakBefore w:val="0"/>
              <w:widowControl/>
              <w:kinsoku/>
              <w:wordWrap/>
              <w:overflowPunct/>
              <w:topLinePunct w:val="0"/>
              <w:autoSpaceDE/>
              <w:autoSpaceDN/>
              <w:bidi w:val="0"/>
              <w:adjustRightInd/>
              <w:snapToGrid/>
              <w:spacing w:line="360" w:lineRule="exact"/>
              <w:textAlignment w:val="auto"/>
              <w:rPr>
                <w:rFonts w:hint="default" w:ascii="宋体" w:hAnsi="宋体" w:eastAsia="方正仿宋_GBK" w:cs="方正仿宋_GBK"/>
                <w:color w:val="000000"/>
                <w:kern w:val="0"/>
                <w:sz w:val="24"/>
                <w:szCs w:val="24"/>
                <w:lang w:val="en-US" w:eastAsia="zh-CN"/>
              </w:rPr>
            </w:pPr>
            <w:r>
              <w:rPr>
                <w:rFonts w:hint="eastAsia" w:ascii="宋体" w:hAnsi="宋体" w:eastAsia="方正仿宋_GBK" w:cs="方正仿宋_GBK"/>
                <w:color w:val="000000"/>
                <w:kern w:val="0"/>
                <w:sz w:val="24"/>
                <w:szCs w:val="24"/>
                <w:lang w:val="en-US" w:eastAsia="zh-CN"/>
              </w:rPr>
              <w:t>90</w:t>
            </w:r>
          </w:p>
        </w:tc>
        <w:tc>
          <w:tcPr>
            <w:tcW w:w="774" w:type="dxa"/>
            <w:tcBorders>
              <w:tl2br w:val="nil"/>
              <w:tr2bl w:val="nil"/>
            </w:tcBorders>
            <w:noWrap w:val="0"/>
            <w:vAlign w:val="center"/>
          </w:tcPr>
          <w:p w14:paraId="70D16313">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宋体" w:hAnsi="宋体" w:eastAsia="方正仿宋_GBK" w:cs="方正仿宋_GBK"/>
                <w:color w:val="000000"/>
                <w:kern w:val="0"/>
                <w:sz w:val="24"/>
                <w:szCs w:val="24"/>
                <w:lang w:val="en-US" w:eastAsia="zh-CN"/>
              </w:rPr>
            </w:pPr>
            <w:r>
              <w:rPr>
                <w:rFonts w:hint="eastAsia" w:ascii="宋体" w:hAnsi="宋体" w:eastAsia="方正仿宋_GBK" w:cs="方正仿宋_GBK"/>
                <w:color w:val="000000"/>
                <w:kern w:val="0"/>
                <w:sz w:val="24"/>
                <w:szCs w:val="24"/>
                <w:lang w:val="en-US" w:eastAsia="zh-CN"/>
              </w:rPr>
              <w:t>0</w:t>
            </w:r>
          </w:p>
        </w:tc>
        <w:tc>
          <w:tcPr>
            <w:tcW w:w="831" w:type="dxa"/>
            <w:tcBorders>
              <w:tl2br w:val="nil"/>
              <w:tr2bl w:val="nil"/>
            </w:tcBorders>
            <w:noWrap w:val="0"/>
            <w:vAlign w:val="center"/>
          </w:tcPr>
          <w:p w14:paraId="3B91BDD8">
            <w:pPr>
              <w:keepNext w:val="0"/>
              <w:keepLines w:val="0"/>
              <w:pageBreakBefore w:val="0"/>
              <w:widowControl/>
              <w:kinsoku/>
              <w:wordWrap/>
              <w:overflowPunct/>
              <w:topLinePunct w:val="0"/>
              <w:autoSpaceDE/>
              <w:autoSpaceDN/>
              <w:bidi w:val="0"/>
              <w:adjustRightInd/>
              <w:snapToGrid/>
              <w:spacing w:line="360" w:lineRule="exact"/>
              <w:textAlignment w:val="auto"/>
              <w:rPr>
                <w:rFonts w:hint="default" w:ascii="宋体" w:hAnsi="宋体" w:eastAsia="方正仿宋_GBK" w:cs="方正仿宋_GBK"/>
                <w:color w:val="000000"/>
                <w:kern w:val="0"/>
                <w:sz w:val="24"/>
                <w:szCs w:val="24"/>
                <w:lang w:val="en-US" w:eastAsia="zh-CN"/>
              </w:rPr>
            </w:pPr>
            <w:r>
              <w:rPr>
                <w:rFonts w:hint="eastAsia" w:ascii="宋体" w:hAnsi="宋体" w:eastAsia="方正仿宋_GBK" w:cs="方正仿宋_GBK"/>
                <w:color w:val="000000"/>
                <w:kern w:val="0"/>
                <w:sz w:val="24"/>
                <w:szCs w:val="24"/>
                <w:lang w:val="en-US" w:eastAsia="zh-CN"/>
              </w:rPr>
              <w:t>100</w:t>
            </w:r>
          </w:p>
        </w:tc>
        <w:tc>
          <w:tcPr>
            <w:tcW w:w="916" w:type="dxa"/>
            <w:tcBorders>
              <w:tl2br w:val="nil"/>
              <w:tr2bl w:val="nil"/>
            </w:tcBorders>
            <w:noWrap w:val="0"/>
            <w:vAlign w:val="center"/>
          </w:tcPr>
          <w:p w14:paraId="64C1162A">
            <w:pPr>
              <w:keepNext w:val="0"/>
              <w:keepLines w:val="0"/>
              <w:pageBreakBefore w:val="0"/>
              <w:widowControl/>
              <w:kinsoku/>
              <w:wordWrap/>
              <w:overflowPunct/>
              <w:topLinePunct w:val="0"/>
              <w:autoSpaceDE/>
              <w:autoSpaceDN/>
              <w:bidi w:val="0"/>
              <w:adjustRightInd/>
              <w:snapToGrid/>
              <w:spacing w:line="360" w:lineRule="exact"/>
              <w:textAlignment w:val="auto"/>
              <w:rPr>
                <w:rFonts w:hint="default" w:ascii="宋体" w:hAnsi="宋体" w:eastAsia="方正仿宋_GBK" w:cs="方正仿宋_GBK"/>
                <w:color w:val="000000"/>
                <w:kern w:val="0"/>
                <w:sz w:val="24"/>
                <w:szCs w:val="24"/>
                <w:lang w:val="en-US" w:eastAsia="zh-CN"/>
              </w:rPr>
            </w:pPr>
            <w:r>
              <w:rPr>
                <w:rFonts w:hint="eastAsia" w:ascii="宋体" w:hAnsi="宋体" w:eastAsia="方正仿宋_GBK" w:cs="方正仿宋_GBK"/>
                <w:color w:val="000000"/>
                <w:kern w:val="0"/>
                <w:sz w:val="24"/>
                <w:szCs w:val="24"/>
                <w:lang w:val="en-US" w:eastAsia="zh-CN"/>
              </w:rPr>
              <w:t>10</w:t>
            </w:r>
          </w:p>
        </w:tc>
        <w:tc>
          <w:tcPr>
            <w:tcW w:w="803" w:type="dxa"/>
            <w:tcBorders>
              <w:tl2br w:val="nil"/>
              <w:tr2bl w:val="nil"/>
            </w:tcBorders>
            <w:noWrap w:val="0"/>
            <w:vAlign w:val="center"/>
          </w:tcPr>
          <w:p w14:paraId="1C72BF52">
            <w:pPr>
              <w:keepNext w:val="0"/>
              <w:keepLines w:val="0"/>
              <w:pageBreakBefore w:val="0"/>
              <w:widowControl/>
              <w:kinsoku/>
              <w:wordWrap/>
              <w:overflowPunct/>
              <w:topLinePunct w:val="0"/>
              <w:autoSpaceDE/>
              <w:autoSpaceDN/>
              <w:bidi w:val="0"/>
              <w:adjustRightInd/>
              <w:snapToGrid/>
              <w:spacing w:line="360" w:lineRule="exact"/>
              <w:textAlignment w:val="auto"/>
              <w:rPr>
                <w:rFonts w:hint="default" w:ascii="宋体" w:hAnsi="宋体" w:eastAsia="方正仿宋_GBK" w:cs="方正仿宋_GBK"/>
                <w:color w:val="000000"/>
                <w:kern w:val="0"/>
                <w:sz w:val="24"/>
                <w:szCs w:val="24"/>
                <w:lang w:val="en-US" w:eastAsia="zh-CN"/>
              </w:rPr>
            </w:pPr>
            <w:r>
              <w:rPr>
                <w:rFonts w:hint="eastAsia" w:ascii="宋体" w:hAnsi="宋体" w:eastAsia="方正仿宋_GBK" w:cs="方正仿宋_GBK"/>
                <w:color w:val="000000"/>
                <w:kern w:val="0"/>
                <w:sz w:val="24"/>
                <w:szCs w:val="24"/>
                <w:lang w:val="en-US" w:eastAsia="zh-CN"/>
              </w:rPr>
              <w:t>10</w:t>
            </w:r>
          </w:p>
        </w:tc>
        <w:tc>
          <w:tcPr>
            <w:tcW w:w="1269" w:type="dxa"/>
            <w:tcBorders>
              <w:tl2br w:val="nil"/>
              <w:tr2bl w:val="nil"/>
            </w:tcBorders>
            <w:noWrap w:val="0"/>
            <w:vAlign w:val="center"/>
          </w:tcPr>
          <w:p w14:paraId="7A2DBE3C">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宋体" w:hAnsi="宋体" w:eastAsia="方正仿宋_GBK" w:cs="方正仿宋_GBK"/>
                <w:color w:val="000000"/>
                <w:kern w:val="0"/>
                <w:sz w:val="24"/>
                <w:szCs w:val="24"/>
              </w:rPr>
            </w:pPr>
          </w:p>
        </w:tc>
      </w:tr>
      <w:tr w14:paraId="5F97EE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847" w:type="dxa"/>
            <w:vMerge w:val="continue"/>
            <w:tcBorders>
              <w:tl2br w:val="nil"/>
              <w:tr2bl w:val="nil"/>
            </w:tcBorders>
            <w:noWrap w:val="0"/>
            <w:vAlign w:val="center"/>
          </w:tcPr>
          <w:p w14:paraId="73058B8E">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方正仿宋_GBK" w:hAnsi="方正仿宋_GBK" w:eastAsia="方正仿宋_GBK" w:cs="方正仿宋_GBK"/>
                <w:color w:val="000000"/>
                <w:kern w:val="0"/>
                <w:sz w:val="24"/>
                <w:szCs w:val="24"/>
              </w:rPr>
            </w:pPr>
          </w:p>
        </w:tc>
        <w:tc>
          <w:tcPr>
            <w:tcW w:w="1175" w:type="dxa"/>
            <w:tcBorders>
              <w:tl2br w:val="nil"/>
              <w:tr2bl w:val="nil"/>
            </w:tcBorders>
            <w:noWrap w:val="0"/>
            <w:vAlign w:val="center"/>
          </w:tcPr>
          <w:p w14:paraId="2CECF6FD">
            <w:pPr>
              <w:keepNext w:val="0"/>
              <w:keepLines w:val="0"/>
              <w:pageBreakBefore w:val="0"/>
              <w:widowControl/>
              <w:kinsoku/>
              <w:wordWrap/>
              <w:overflowPunct/>
              <w:topLinePunct w:val="0"/>
              <w:autoSpaceDE/>
              <w:autoSpaceDN/>
              <w:bidi w:val="0"/>
              <w:adjustRightInd/>
              <w:snapToGrid/>
              <w:spacing w:line="340" w:lineRule="exact"/>
              <w:textAlignment w:val="auto"/>
              <w:rPr>
                <w:rFonts w:hint="eastAsia" w:ascii="宋体" w:hAnsi="宋体" w:eastAsia="方正仿宋_GBK" w:cs="方正仿宋_GBK"/>
                <w:color w:val="000000"/>
                <w:kern w:val="0"/>
                <w:sz w:val="21"/>
                <w:szCs w:val="21"/>
              </w:rPr>
            </w:pPr>
            <w:r>
              <w:rPr>
                <w:rFonts w:hint="eastAsia" w:ascii="宋体" w:hAnsi="宋体" w:eastAsia="方正仿宋_GBK" w:cs="方正仿宋_GBK"/>
                <w:color w:val="000000"/>
                <w:kern w:val="0"/>
                <w:sz w:val="21"/>
                <w:szCs w:val="21"/>
              </w:rPr>
              <w:t>聘用人员控制情况</w:t>
            </w:r>
          </w:p>
        </w:tc>
        <w:tc>
          <w:tcPr>
            <w:tcW w:w="455" w:type="dxa"/>
            <w:tcBorders>
              <w:tl2br w:val="nil"/>
              <w:tr2bl w:val="nil"/>
            </w:tcBorders>
            <w:noWrap w:val="0"/>
            <w:vAlign w:val="center"/>
          </w:tcPr>
          <w:p w14:paraId="452708D6">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宋体" w:hAnsi="宋体" w:eastAsia="方正仿宋_GBK" w:cs="方正仿宋_GBK"/>
                <w:color w:val="000000"/>
                <w:kern w:val="0"/>
                <w:sz w:val="24"/>
                <w:szCs w:val="24"/>
                <w:lang w:val="en-US" w:eastAsia="zh-CN"/>
              </w:rPr>
            </w:pPr>
            <w:r>
              <w:rPr>
                <w:rFonts w:hint="eastAsia" w:ascii="宋体" w:hAnsi="宋体" w:eastAsia="方正仿宋_GBK" w:cs="方正仿宋_GBK"/>
                <w:color w:val="000000"/>
                <w:kern w:val="0"/>
                <w:sz w:val="24"/>
                <w:szCs w:val="24"/>
                <w:lang w:val="en-US" w:eastAsia="zh-CN"/>
              </w:rPr>
              <w:t>人</w:t>
            </w:r>
          </w:p>
        </w:tc>
        <w:tc>
          <w:tcPr>
            <w:tcW w:w="909" w:type="dxa"/>
            <w:tcBorders>
              <w:tl2br w:val="nil"/>
              <w:tr2bl w:val="nil"/>
            </w:tcBorders>
            <w:noWrap w:val="0"/>
            <w:vAlign w:val="center"/>
          </w:tcPr>
          <w:p w14:paraId="1EDC7347">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w:t>
            </w:r>
          </w:p>
        </w:tc>
        <w:tc>
          <w:tcPr>
            <w:tcW w:w="1311" w:type="dxa"/>
            <w:tcBorders>
              <w:tl2br w:val="nil"/>
              <w:tr2bl w:val="nil"/>
            </w:tcBorders>
            <w:noWrap w:val="0"/>
            <w:vAlign w:val="center"/>
          </w:tcPr>
          <w:p w14:paraId="398B3AD2">
            <w:pPr>
              <w:keepNext w:val="0"/>
              <w:keepLines w:val="0"/>
              <w:pageBreakBefore w:val="0"/>
              <w:widowControl/>
              <w:kinsoku/>
              <w:wordWrap/>
              <w:overflowPunct/>
              <w:topLinePunct w:val="0"/>
              <w:autoSpaceDE/>
              <w:autoSpaceDN/>
              <w:bidi w:val="0"/>
              <w:adjustRightInd/>
              <w:snapToGrid/>
              <w:spacing w:line="360" w:lineRule="exact"/>
              <w:textAlignment w:val="auto"/>
              <w:rPr>
                <w:rFonts w:hint="default" w:ascii="宋体" w:hAnsi="宋体" w:eastAsia="方正仿宋_GBK" w:cs="方正仿宋_GBK"/>
                <w:color w:val="000000"/>
                <w:kern w:val="0"/>
                <w:sz w:val="24"/>
                <w:szCs w:val="24"/>
                <w:lang w:val="en-US" w:eastAsia="zh-CN"/>
              </w:rPr>
            </w:pPr>
            <w:r>
              <w:rPr>
                <w:rFonts w:hint="eastAsia" w:ascii="宋体" w:hAnsi="宋体" w:eastAsia="方正仿宋_GBK" w:cs="方正仿宋_GBK"/>
                <w:color w:val="000000"/>
                <w:kern w:val="0"/>
                <w:sz w:val="24"/>
                <w:szCs w:val="24"/>
                <w:lang w:val="en-US" w:eastAsia="zh-CN"/>
              </w:rPr>
              <w:t>51</w:t>
            </w:r>
          </w:p>
        </w:tc>
        <w:tc>
          <w:tcPr>
            <w:tcW w:w="842" w:type="dxa"/>
            <w:tcBorders>
              <w:tl2br w:val="nil"/>
              <w:tr2bl w:val="nil"/>
            </w:tcBorders>
            <w:noWrap w:val="0"/>
            <w:vAlign w:val="center"/>
          </w:tcPr>
          <w:p w14:paraId="2EE09C83">
            <w:pPr>
              <w:keepNext w:val="0"/>
              <w:keepLines w:val="0"/>
              <w:pageBreakBefore w:val="0"/>
              <w:widowControl/>
              <w:kinsoku/>
              <w:wordWrap/>
              <w:overflowPunct/>
              <w:topLinePunct w:val="0"/>
              <w:autoSpaceDE/>
              <w:autoSpaceDN/>
              <w:bidi w:val="0"/>
              <w:adjustRightInd/>
              <w:snapToGrid/>
              <w:spacing w:line="360" w:lineRule="exact"/>
              <w:textAlignment w:val="auto"/>
              <w:rPr>
                <w:rFonts w:hint="default" w:ascii="宋体" w:hAnsi="宋体" w:eastAsia="方正仿宋_GBK" w:cs="方正仿宋_GBK"/>
                <w:color w:val="000000"/>
                <w:kern w:val="0"/>
                <w:sz w:val="24"/>
                <w:szCs w:val="24"/>
                <w:lang w:val="en-US" w:eastAsia="zh-CN"/>
              </w:rPr>
            </w:pPr>
            <w:r>
              <w:rPr>
                <w:rFonts w:hint="eastAsia" w:ascii="宋体" w:hAnsi="宋体" w:eastAsia="方正仿宋_GBK" w:cs="方正仿宋_GBK"/>
                <w:color w:val="000000"/>
                <w:kern w:val="0"/>
                <w:sz w:val="24"/>
                <w:szCs w:val="24"/>
                <w:lang w:val="en-US" w:eastAsia="zh-CN"/>
              </w:rPr>
              <w:t>44</w:t>
            </w:r>
          </w:p>
        </w:tc>
        <w:tc>
          <w:tcPr>
            <w:tcW w:w="774" w:type="dxa"/>
            <w:tcBorders>
              <w:tl2br w:val="nil"/>
              <w:tr2bl w:val="nil"/>
            </w:tcBorders>
            <w:noWrap w:val="0"/>
            <w:vAlign w:val="center"/>
          </w:tcPr>
          <w:p w14:paraId="6BDAA141">
            <w:pPr>
              <w:keepNext w:val="0"/>
              <w:keepLines w:val="0"/>
              <w:pageBreakBefore w:val="0"/>
              <w:widowControl/>
              <w:kinsoku/>
              <w:wordWrap/>
              <w:overflowPunct/>
              <w:topLinePunct w:val="0"/>
              <w:autoSpaceDE/>
              <w:autoSpaceDN/>
              <w:bidi w:val="0"/>
              <w:adjustRightInd/>
              <w:snapToGrid/>
              <w:spacing w:line="360" w:lineRule="exact"/>
              <w:textAlignment w:val="auto"/>
              <w:rPr>
                <w:rFonts w:hint="default" w:ascii="宋体" w:hAnsi="宋体" w:eastAsia="方正仿宋_GBK" w:cs="方正仿宋_GBK"/>
                <w:color w:val="000000"/>
                <w:kern w:val="0"/>
                <w:sz w:val="24"/>
                <w:szCs w:val="24"/>
                <w:lang w:val="en-US" w:eastAsia="zh-CN"/>
              </w:rPr>
            </w:pPr>
            <w:r>
              <w:rPr>
                <w:rFonts w:hint="eastAsia" w:ascii="宋体" w:hAnsi="宋体" w:eastAsia="方正仿宋_GBK" w:cs="方正仿宋_GBK"/>
                <w:color w:val="000000"/>
                <w:kern w:val="0"/>
                <w:sz w:val="24"/>
                <w:szCs w:val="24"/>
                <w:lang w:val="en-US" w:eastAsia="zh-CN"/>
              </w:rPr>
              <w:t>13.73</w:t>
            </w:r>
          </w:p>
        </w:tc>
        <w:tc>
          <w:tcPr>
            <w:tcW w:w="831" w:type="dxa"/>
            <w:tcBorders>
              <w:tl2br w:val="nil"/>
              <w:tr2bl w:val="nil"/>
            </w:tcBorders>
            <w:noWrap w:val="0"/>
            <w:vAlign w:val="center"/>
          </w:tcPr>
          <w:p w14:paraId="6BCEA091">
            <w:pPr>
              <w:keepNext w:val="0"/>
              <w:keepLines w:val="0"/>
              <w:pageBreakBefore w:val="0"/>
              <w:widowControl/>
              <w:kinsoku/>
              <w:wordWrap/>
              <w:overflowPunct/>
              <w:topLinePunct w:val="0"/>
              <w:autoSpaceDE/>
              <w:autoSpaceDN/>
              <w:bidi w:val="0"/>
              <w:adjustRightInd/>
              <w:snapToGrid/>
              <w:spacing w:line="360" w:lineRule="exact"/>
              <w:textAlignment w:val="auto"/>
              <w:rPr>
                <w:rFonts w:hint="default" w:ascii="宋体" w:hAnsi="宋体" w:eastAsia="方正仿宋_GBK" w:cs="方正仿宋_GBK"/>
                <w:color w:val="000000"/>
                <w:kern w:val="0"/>
                <w:sz w:val="24"/>
                <w:szCs w:val="24"/>
                <w:lang w:val="en-US" w:eastAsia="zh-CN"/>
              </w:rPr>
            </w:pPr>
            <w:r>
              <w:rPr>
                <w:rFonts w:hint="eastAsia" w:ascii="宋体" w:hAnsi="宋体" w:eastAsia="方正仿宋_GBK" w:cs="方正仿宋_GBK"/>
                <w:color w:val="000000"/>
                <w:kern w:val="0"/>
                <w:sz w:val="24"/>
                <w:szCs w:val="24"/>
                <w:lang w:val="en-US" w:eastAsia="zh-CN"/>
              </w:rPr>
              <w:t>100</w:t>
            </w:r>
          </w:p>
        </w:tc>
        <w:tc>
          <w:tcPr>
            <w:tcW w:w="916" w:type="dxa"/>
            <w:tcBorders>
              <w:tl2br w:val="nil"/>
              <w:tr2bl w:val="nil"/>
            </w:tcBorders>
            <w:noWrap w:val="0"/>
            <w:vAlign w:val="center"/>
          </w:tcPr>
          <w:p w14:paraId="552BD84C">
            <w:pPr>
              <w:keepNext w:val="0"/>
              <w:keepLines w:val="0"/>
              <w:pageBreakBefore w:val="0"/>
              <w:widowControl/>
              <w:kinsoku/>
              <w:wordWrap/>
              <w:overflowPunct/>
              <w:topLinePunct w:val="0"/>
              <w:autoSpaceDE/>
              <w:autoSpaceDN/>
              <w:bidi w:val="0"/>
              <w:adjustRightInd/>
              <w:snapToGrid/>
              <w:spacing w:line="360" w:lineRule="exact"/>
              <w:textAlignment w:val="auto"/>
              <w:rPr>
                <w:rFonts w:hint="default" w:ascii="宋体" w:hAnsi="宋体" w:eastAsia="方正仿宋_GBK" w:cs="方正仿宋_GBK"/>
                <w:color w:val="000000"/>
                <w:kern w:val="0"/>
                <w:sz w:val="24"/>
                <w:szCs w:val="24"/>
                <w:lang w:val="en-US" w:eastAsia="zh-CN"/>
              </w:rPr>
            </w:pPr>
            <w:r>
              <w:rPr>
                <w:rFonts w:hint="eastAsia" w:ascii="宋体" w:hAnsi="宋体" w:eastAsia="方正仿宋_GBK" w:cs="方正仿宋_GBK"/>
                <w:color w:val="000000"/>
                <w:kern w:val="0"/>
                <w:sz w:val="24"/>
                <w:szCs w:val="24"/>
                <w:lang w:val="en-US" w:eastAsia="zh-CN"/>
              </w:rPr>
              <w:t>10</w:t>
            </w:r>
          </w:p>
        </w:tc>
        <w:tc>
          <w:tcPr>
            <w:tcW w:w="803" w:type="dxa"/>
            <w:tcBorders>
              <w:tl2br w:val="nil"/>
              <w:tr2bl w:val="nil"/>
            </w:tcBorders>
            <w:noWrap w:val="0"/>
            <w:vAlign w:val="center"/>
          </w:tcPr>
          <w:p w14:paraId="02847705">
            <w:pPr>
              <w:keepNext w:val="0"/>
              <w:keepLines w:val="0"/>
              <w:pageBreakBefore w:val="0"/>
              <w:widowControl/>
              <w:kinsoku/>
              <w:wordWrap/>
              <w:overflowPunct/>
              <w:topLinePunct w:val="0"/>
              <w:autoSpaceDE/>
              <w:autoSpaceDN/>
              <w:bidi w:val="0"/>
              <w:adjustRightInd/>
              <w:snapToGrid/>
              <w:spacing w:line="360" w:lineRule="exact"/>
              <w:textAlignment w:val="auto"/>
              <w:rPr>
                <w:rFonts w:hint="default" w:ascii="宋体" w:hAnsi="宋体" w:eastAsia="方正仿宋_GBK" w:cs="方正仿宋_GBK"/>
                <w:color w:val="000000"/>
                <w:kern w:val="0"/>
                <w:sz w:val="24"/>
                <w:szCs w:val="24"/>
                <w:lang w:val="en-US" w:eastAsia="zh-CN"/>
              </w:rPr>
            </w:pPr>
            <w:r>
              <w:rPr>
                <w:rFonts w:hint="eastAsia" w:ascii="宋体" w:hAnsi="宋体" w:eastAsia="方正仿宋_GBK" w:cs="方正仿宋_GBK"/>
                <w:color w:val="000000"/>
                <w:kern w:val="0"/>
                <w:sz w:val="24"/>
                <w:szCs w:val="24"/>
                <w:lang w:val="en-US" w:eastAsia="zh-CN"/>
              </w:rPr>
              <w:t>10</w:t>
            </w:r>
          </w:p>
        </w:tc>
        <w:tc>
          <w:tcPr>
            <w:tcW w:w="1269" w:type="dxa"/>
            <w:tcBorders>
              <w:tl2br w:val="nil"/>
              <w:tr2bl w:val="nil"/>
            </w:tcBorders>
            <w:noWrap w:val="0"/>
            <w:vAlign w:val="center"/>
          </w:tcPr>
          <w:p w14:paraId="70B44A46">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宋体" w:hAnsi="宋体" w:eastAsia="方正仿宋_GBK" w:cs="方正仿宋_GBK"/>
                <w:color w:val="000000"/>
                <w:kern w:val="0"/>
                <w:sz w:val="24"/>
                <w:szCs w:val="24"/>
              </w:rPr>
            </w:pPr>
          </w:p>
        </w:tc>
      </w:tr>
      <w:tr w14:paraId="26670F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847" w:type="dxa"/>
            <w:vMerge w:val="continue"/>
            <w:tcBorders>
              <w:tl2br w:val="nil"/>
              <w:tr2bl w:val="nil"/>
            </w:tcBorders>
            <w:noWrap w:val="0"/>
            <w:vAlign w:val="center"/>
          </w:tcPr>
          <w:p w14:paraId="1657915D">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方正仿宋_GBK" w:hAnsi="方正仿宋_GBK" w:eastAsia="方正仿宋_GBK" w:cs="方正仿宋_GBK"/>
                <w:color w:val="000000"/>
                <w:kern w:val="0"/>
                <w:sz w:val="24"/>
                <w:szCs w:val="24"/>
              </w:rPr>
            </w:pPr>
          </w:p>
        </w:tc>
        <w:tc>
          <w:tcPr>
            <w:tcW w:w="1175" w:type="dxa"/>
            <w:tcBorders>
              <w:tl2br w:val="nil"/>
              <w:tr2bl w:val="nil"/>
            </w:tcBorders>
            <w:noWrap w:val="0"/>
            <w:vAlign w:val="center"/>
          </w:tcPr>
          <w:p w14:paraId="40882DD2">
            <w:pPr>
              <w:keepNext w:val="0"/>
              <w:keepLines w:val="0"/>
              <w:pageBreakBefore w:val="0"/>
              <w:widowControl/>
              <w:kinsoku/>
              <w:wordWrap/>
              <w:overflowPunct/>
              <w:topLinePunct w:val="0"/>
              <w:autoSpaceDE/>
              <w:autoSpaceDN/>
              <w:bidi w:val="0"/>
              <w:adjustRightInd/>
              <w:snapToGrid/>
              <w:spacing w:line="340" w:lineRule="exact"/>
              <w:textAlignment w:val="auto"/>
              <w:rPr>
                <w:rFonts w:hint="eastAsia" w:ascii="宋体" w:hAnsi="宋体" w:eastAsia="方正仿宋_GBK" w:cs="方正仿宋_GBK"/>
                <w:color w:val="000000"/>
                <w:kern w:val="0"/>
                <w:sz w:val="21"/>
                <w:szCs w:val="21"/>
              </w:rPr>
            </w:pPr>
            <w:r>
              <w:rPr>
                <w:rFonts w:hint="eastAsia" w:ascii="宋体" w:hAnsi="宋体" w:eastAsia="方正仿宋_GBK" w:cs="方正仿宋_GBK"/>
                <w:color w:val="000000"/>
                <w:kern w:val="0"/>
                <w:sz w:val="21"/>
                <w:szCs w:val="21"/>
              </w:rPr>
              <w:t>“三公”经费控制情况</w:t>
            </w:r>
          </w:p>
        </w:tc>
        <w:tc>
          <w:tcPr>
            <w:tcW w:w="455" w:type="dxa"/>
            <w:tcBorders>
              <w:tl2br w:val="nil"/>
              <w:tr2bl w:val="nil"/>
            </w:tcBorders>
            <w:noWrap w:val="0"/>
            <w:vAlign w:val="center"/>
          </w:tcPr>
          <w:p w14:paraId="0EB07A1F">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万元</w:t>
            </w:r>
          </w:p>
        </w:tc>
        <w:tc>
          <w:tcPr>
            <w:tcW w:w="909" w:type="dxa"/>
            <w:tcBorders>
              <w:tl2br w:val="nil"/>
              <w:tr2bl w:val="nil"/>
            </w:tcBorders>
            <w:noWrap w:val="0"/>
            <w:vAlign w:val="center"/>
          </w:tcPr>
          <w:p w14:paraId="72BECDCE">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w:t>
            </w:r>
          </w:p>
        </w:tc>
        <w:tc>
          <w:tcPr>
            <w:tcW w:w="1311" w:type="dxa"/>
            <w:tcBorders>
              <w:tl2br w:val="nil"/>
              <w:tr2bl w:val="nil"/>
            </w:tcBorders>
            <w:noWrap w:val="0"/>
            <w:vAlign w:val="center"/>
          </w:tcPr>
          <w:p w14:paraId="20C4D0B4">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宋体" w:hAnsi="宋体" w:eastAsia="方正仿宋_GBK" w:cs="方正仿宋_GBK"/>
                <w:color w:val="000000"/>
                <w:kern w:val="0"/>
                <w:sz w:val="24"/>
                <w:szCs w:val="24"/>
                <w:lang w:val="en-US" w:eastAsia="zh-CN"/>
              </w:rPr>
            </w:pPr>
            <w:r>
              <w:rPr>
                <w:rFonts w:hint="eastAsia" w:ascii="宋体" w:hAnsi="宋体" w:eastAsia="方正仿宋_GBK" w:cs="方正仿宋_GBK"/>
                <w:color w:val="000000"/>
                <w:kern w:val="0"/>
                <w:sz w:val="24"/>
                <w:szCs w:val="24"/>
                <w:lang w:val="en-US" w:eastAsia="zh-CN"/>
              </w:rPr>
              <w:t>4</w:t>
            </w:r>
          </w:p>
        </w:tc>
        <w:tc>
          <w:tcPr>
            <w:tcW w:w="842" w:type="dxa"/>
            <w:tcBorders>
              <w:tl2br w:val="nil"/>
              <w:tr2bl w:val="nil"/>
            </w:tcBorders>
            <w:noWrap w:val="0"/>
            <w:vAlign w:val="center"/>
          </w:tcPr>
          <w:p w14:paraId="0C1BC139">
            <w:pPr>
              <w:keepNext w:val="0"/>
              <w:keepLines w:val="0"/>
              <w:pageBreakBefore w:val="0"/>
              <w:widowControl/>
              <w:kinsoku/>
              <w:wordWrap/>
              <w:overflowPunct/>
              <w:topLinePunct w:val="0"/>
              <w:autoSpaceDE/>
              <w:autoSpaceDN/>
              <w:bidi w:val="0"/>
              <w:adjustRightInd/>
              <w:snapToGrid/>
              <w:spacing w:line="360" w:lineRule="exact"/>
              <w:textAlignment w:val="auto"/>
              <w:rPr>
                <w:rFonts w:hint="default" w:ascii="宋体" w:hAnsi="宋体" w:eastAsia="方正仿宋_GBK" w:cs="方正仿宋_GBK"/>
                <w:color w:val="000000"/>
                <w:kern w:val="0"/>
                <w:sz w:val="24"/>
                <w:szCs w:val="24"/>
                <w:lang w:val="en-US" w:eastAsia="zh-CN"/>
              </w:rPr>
            </w:pPr>
            <w:r>
              <w:rPr>
                <w:rFonts w:hint="eastAsia" w:ascii="宋体" w:hAnsi="宋体" w:eastAsia="方正仿宋_GBK" w:cs="方正仿宋_GBK"/>
                <w:color w:val="000000"/>
                <w:kern w:val="0"/>
                <w:sz w:val="24"/>
                <w:szCs w:val="24"/>
                <w:lang w:val="en-US" w:eastAsia="zh-CN"/>
              </w:rPr>
              <w:t>2.81304</w:t>
            </w:r>
          </w:p>
        </w:tc>
        <w:tc>
          <w:tcPr>
            <w:tcW w:w="774" w:type="dxa"/>
            <w:tcBorders>
              <w:tl2br w:val="nil"/>
              <w:tr2bl w:val="nil"/>
            </w:tcBorders>
            <w:noWrap w:val="0"/>
            <w:vAlign w:val="center"/>
          </w:tcPr>
          <w:p w14:paraId="5CC0CB1E">
            <w:pPr>
              <w:keepNext w:val="0"/>
              <w:keepLines w:val="0"/>
              <w:pageBreakBefore w:val="0"/>
              <w:widowControl/>
              <w:kinsoku/>
              <w:wordWrap/>
              <w:overflowPunct/>
              <w:topLinePunct w:val="0"/>
              <w:autoSpaceDE/>
              <w:autoSpaceDN/>
              <w:bidi w:val="0"/>
              <w:adjustRightInd/>
              <w:snapToGrid/>
              <w:spacing w:line="360" w:lineRule="exact"/>
              <w:textAlignment w:val="auto"/>
              <w:rPr>
                <w:rFonts w:hint="default" w:ascii="宋体" w:hAnsi="宋体" w:eastAsia="方正仿宋_GBK" w:cs="方正仿宋_GBK"/>
                <w:color w:val="000000"/>
                <w:kern w:val="0"/>
                <w:sz w:val="24"/>
                <w:szCs w:val="24"/>
                <w:lang w:val="en-US" w:eastAsia="zh-CN"/>
              </w:rPr>
            </w:pPr>
            <w:r>
              <w:rPr>
                <w:rFonts w:hint="eastAsia" w:ascii="宋体" w:hAnsi="宋体" w:eastAsia="方正仿宋_GBK" w:cs="方正仿宋_GBK"/>
                <w:color w:val="000000"/>
                <w:kern w:val="0"/>
                <w:sz w:val="24"/>
                <w:szCs w:val="24"/>
                <w:lang w:val="en-US" w:eastAsia="zh-CN"/>
              </w:rPr>
              <w:t>29.67</w:t>
            </w:r>
          </w:p>
        </w:tc>
        <w:tc>
          <w:tcPr>
            <w:tcW w:w="831" w:type="dxa"/>
            <w:tcBorders>
              <w:tl2br w:val="nil"/>
              <w:tr2bl w:val="nil"/>
            </w:tcBorders>
            <w:noWrap w:val="0"/>
            <w:vAlign w:val="center"/>
          </w:tcPr>
          <w:p w14:paraId="584A31C6">
            <w:pPr>
              <w:keepNext w:val="0"/>
              <w:keepLines w:val="0"/>
              <w:pageBreakBefore w:val="0"/>
              <w:widowControl/>
              <w:kinsoku/>
              <w:wordWrap/>
              <w:overflowPunct/>
              <w:topLinePunct w:val="0"/>
              <w:autoSpaceDE/>
              <w:autoSpaceDN/>
              <w:bidi w:val="0"/>
              <w:adjustRightInd/>
              <w:snapToGrid/>
              <w:spacing w:line="360" w:lineRule="exact"/>
              <w:textAlignment w:val="auto"/>
              <w:rPr>
                <w:rFonts w:hint="default" w:ascii="宋体" w:hAnsi="宋体" w:eastAsia="方正仿宋_GBK" w:cs="方正仿宋_GBK"/>
                <w:color w:val="000000"/>
                <w:kern w:val="0"/>
                <w:sz w:val="24"/>
                <w:szCs w:val="24"/>
                <w:lang w:val="en-US" w:eastAsia="zh-CN"/>
              </w:rPr>
            </w:pPr>
            <w:r>
              <w:rPr>
                <w:rFonts w:hint="eastAsia" w:ascii="宋体" w:hAnsi="宋体" w:eastAsia="方正仿宋_GBK" w:cs="方正仿宋_GBK"/>
                <w:color w:val="000000"/>
                <w:kern w:val="0"/>
                <w:sz w:val="24"/>
                <w:szCs w:val="24"/>
                <w:lang w:val="en-US" w:eastAsia="zh-CN"/>
              </w:rPr>
              <w:t>100</w:t>
            </w:r>
          </w:p>
        </w:tc>
        <w:tc>
          <w:tcPr>
            <w:tcW w:w="916" w:type="dxa"/>
            <w:tcBorders>
              <w:tl2br w:val="nil"/>
              <w:tr2bl w:val="nil"/>
            </w:tcBorders>
            <w:noWrap w:val="0"/>
            <w:vAlign w:val="center"/>
          </w:tcPr>
          <w:p w14:paraId="0BE8DA13">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宋体" w:hAnsi="宋体" w:eastAsia="方正仿宋_GBK" w:cs="方正仿宋_GBK"/>
                <w:color w:val="000000"/>
                <w:kern w:val="0"/>
                <w:sz w:val="24"/>
                <w:szCs w:val="24"/>
                <w:lang w:val="en-US" w:eastAsia="zh-CN"/>
              </w:rPr>
            </w:pPr>
            <w:r>
              <w:rPr>
                <w:rFonts w:hint="eastAsia" w:ascii="宋体" w:hAnsi="宋体" w:eastAsia="方正仿宋_GBK" w:cs="方正仿宋_GBK"/>
                <w:color w:val="000000"/>
                <w:kern w:val="0"/>
                <w:sz w:val="24"/>
                <w:szCs w:val="24"/>
                <w:lang w:val="en-US" w:eastAsia="zh-CN"/>
              </w:rPr>
              <w:t>5</w:t>
            </w:r>
          </w:p>
        </w:tc>
        <w:tc>
          <w:tcPr>
            <w:tcW w:w="803" w:type="dxa"/>
            <w:tcBorders>
              <w:tl2br w:val="nil"/>
              <w:tr2bl w:val="nil"/>
            </w:tcBorders>
            <w:noWrap w:val="0"/>
            <w:vAlign w:val="center"/>
          </w:tcPr>
          <w:p w14:paraId="29FBE897">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宋体" w:hAnsi="宋体" w:eastAsia="方正仿宋_GBK" w:cs="方正仿宋_GBK"/>
                <w:color w:val="000000"/>
                <w:kern w:val="0"/>
                <w:sz w:val="24"/>
                <w:szCs w:val="24"/>
                <w:lang w:val="en-US" w:eastAsia="zh-CN"/>
              </w:rPr>
            </w:pPr>
            <w:r>
              <w:rPr>
                <w:rFonts w:hint="eastAsia" w:ascii="宋体" w:hAnsi="宋体" w:eastAsia="方正仿宋_GBK" w:cs="方正仿宋_GBK"/>
                <w:color w:val="000000"/>
                <w:kern w:val="0"/>
                <w:sz w:val="24"/>
                <w:szCs w:val="24"/>
                <w:lang w:val="en-US" w:eastAsia="zh-CN"/>
              </w:rPr>
              <w:t>5</w:t>
            </w:r>
          </w:p>
        </w:tc>
        <w:tc>
          <w:tcPr>
            <w:tcW w:w="1269" w:type="dxa"/>
            <w:tcBorders>
              <w:tl2br w:val="nil"/>
              <w:tr2bl w:val="nil"/>
            </w:tcBorders>
            <w:noWrap w:val="0"/>
            <w:vAlign w:val="center"/>
          </w:tcPr>
          <w:p w14:paraId="78C2AB29">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宋体" w:hAnsi="宋体" w:eastAsia="方正仿宋_GBK" w:cs="方正仿宋_GBK"/>
                <w:color w:val="000000"/>
                <w:kern w:val="0"/>
                <w:sz w:val="24"/>
                <w:szCs w:val="24"/>
              </w:rPr>
            </w:pPr>
          </w:p>
        </w:tc>
      </w:tr>
      <w:tr w14:paraId="36DE21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847" w:type="dxa"/>
            <w:vMerge w:val="continue"/>
            <w:tcBorders>
              <w:tl2br w:val="nil"/>
              <w:tr2bl w:val="nil"/>
            </w:tcBorders>
            <w:noWrap w:val="0"/>
            <w:vAlign w:val="center"/>
          </w:tcPr>
          <w:p w14:paraId="68F14144">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方正仿宋_GBK" w:hAnsi="方正仿宋_GBK" w:eastAsia="方正仿宋_GBK" w:cs="方正仿宋_GBK"/>
                <w:color w:val="000000"/>
                <w:kern w:val="0"/>
                <w:sz w:val="24"/>
                <w:szCs w:val="24"/>
              </w:rPr>
            </w:pPr>
          </w:p>
        </w:tc>
        <w:tc>
          <w:tcPr>
            <w:tcW w:w="1175" w:type="dxa"/>
            <w:tcBorders>
              <w:tl2br w:val="nil"/>
              <w:tr2bl w:val="nil"/>
            </w:tcBorders>
            <w:noWrap w:val="0"/>
            <w:vAlign w:val="center"/>
          </w:tcPr>
          <w:p w14:paraId="41997BDF">
            <w:pPr>
              <w:keepNext w:val="0"/>
              <w:keepLines w:val="0"/>
              <w:pageBreakBefore w:val="0"/>
              <w:widowControl/>
              <w:kinsoku/>
              <w:wordWrap/>
              <w:overflowPunct/>
              <w:topLinePunct w:val="0"/>
              <w:autoSpaceDE/>
              <w:autoSpaceDN/>
              <w:bidi w:val="0"/>
              <w:adjustRightInd/>
              <w:snapToGrid/>
              <w:spacing w:line="340" w:lineRule="exact"/>
              <w:textAlignment w:val="auto"/>
              <w:rPr>
                <w:rFonts w:hint="eastAsia" w:ascii="宋体" w:hAnsi="宋体" w:eastAsia="方正仿宋_GBK" w:cs="方正仿宋_GBK"/>
                <w:color w:val="000000"/>
                <w:kern w:val="0"/>
                <w:sz w:val="21"/>
                <w:szCs w:val="21"/>
              </w:rPr>
            </w:pPr>
            <w:r>
              <w:rPr>
                <w:rFonts w:hint="eastAsia" w:ascii="宋体" w:hAnsi="宋体" w:eastAsia="方正仿宋_GBK" w:cs="方正仿宋_GBK"/>
                <w:color w:val="000000"/>
                <w:kern w:val="0"/>
                <w:sz w:val="21"/>
                <w:szCs w:val="21"/>
              </w:rPr>
              <w:t>部门预决算公开情况</w:t>
            </w:r>
          </w:p>
        </w:tc>
        <w:tc>
          <w:tcPr>
            <w:tcW w:w="455" w:type="dxa"/>
            <w:tcBorders>
              <w:tl2br w:val="nil"/>
              <w:tr2bl w:val="nil"/>
            </w:tcBorders>
            <w:noWrap w:val="0"/>
            <w:vAlign w:val="center"/>
          </w:tcPr>
          <w:p w14:paraId="2A9F08BA">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宋体" w:hAnsi="宋体" w:eastAsia="方正仿宋_GBK" w:cs="方正仿宋_GBK"/>
                <w:color w:val="000000"/>
                <w:kern w:val="0"/>
                <w:sz w:val="24"/>
                <w:szCs w:val="24"/>
              </w:rPr>
            </w:pPr>
          </w:p>
        </w:tc>
        <w:tc>
          <w:tcPr>
            <w:tcW w:w="909" w:type="dxa"/>
            <w:tcBorders>
              <w:tl2br w:val="nil"/>
              <w:tr2bl w:val="nil"/>
            </w:tcBorders>
            <w:noWrap w:val="0"/>
            <w:vAlign w:val="center"/>
          </w:tcPr>
          <w:p w14:paraId="04B66074">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定性</w:t>
            </w:r>
          </w:p>
        </w:tc>
        <w:tc>
          <w:tcPr>
            <w:tcW w:w="1311" w:type="dxa"/>
            <w:tcBorders>
              <w:tl2br w:val="nil"/>
              <w:tr2bl w:val="nil"/>
            </w:tcBorders>
            <w:noWrap w:val="0"/>
            <w:vAlign w:val="center"/>
          </w:tcPr>
          <w:p w14:paraId="2574E557">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宋体" w:hAnsi="宋体" w:eastAsia="方正仿宋_GBK" w:cs="方正仿宋_GBK"/>
                <w:color w:val="000000"/>
                <w:kern w:val="0"/>
                <w:sz w:val="21"/>
                <w:szCs w:val="21"/>
              </w:rPr>
            </w:pPr>
            <w:r>
              <w:rPr>
                <w:rFonts w:hint="eastAsia" w:ascii="宋体" w:hAnsi="宋体" w:eastAsia="方正仿宋_GBK" w:cs="方正仿宋_GBK"/>
                <w:color w:val="000000"/>
                <w:kern w:val="0"/>
                <w:sz w:val="21"/>
                <w:szCs w:val="21"/>
              </w:rPr>
              <w:t>以内容完整性、细化程度、及时性及真实性进行评价，存在一类问题扣2.5份，无问题得满分。</w:t>
            </w:r>
          </w:p>
        </w:tc>
        <w:tc>
          <w:tcPr>
            <w:tcW w:w="842" w:type="dxa"/>
            <w:tcBorders>
              <w:tl2br w:val="nil"/>
              <w:tr2bl w:val="nil"/>
            </w:tcBorders>
            <w:noWrap w:val="0"/>
            <w:vAlign w:val="center"/>
          </w:tcPr>
          <w:p w14:paraId="473ED84F">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宋体" w:hAnsi="宋体" w:eastAsia="方正仿宋_GBK" w:cs="方正仿宋_GBK"/>
                <w:color w:val="000000"/>
                <w:kern w:val="0"/>
                <w:sz w:val="24"/>
                <w:szCs w:val="24"/>
                <w:lang w:val="en-US" w:eastAsia="zh-CN"/>
              </w:rPr>
            </w:pPr>
            <w:r>
              <w:rPr>
                <w:rFonts w:hint="eastAsia" w:ascii="宋体" w:hAnsi="宋体" w:eastAsia="方正仿宋_GBK" w:cs="方正仿宋_GBK"/>
                <w:color w:val="000000"/>
                <w:kern w:val="0"/>
                <w:sz w:val="24"/>
                <w:szCs w:val="24"/>
                <w:lang w:val="en-US" w:eastAsia="zh-CN"/>
              </w:rPr>
              <w:t>全部完 成</w:t>
            </w:r>
          </w:p>
        </w:tc>
        <w:tc>
          <w:tcPr>
            <w:tcW w:w="774" w:type="dxa"/>
            <w:tcBorders>
              <w:tl2br w:val="nil"/>
              <w:tr2bl w:val="nil"/>
            </w:tcBorders>
            <w:noWrap w:val="0"/>
            <w:vAlign w:val="center"/>
          </w:tcPr>
          <w:p w14:paraId="3EFD0A46">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宋体" w:hAnsi="宋体" w:eastAsia="方正仿宋_GBK" w:cs="方正仿宋_GBK"/>
                <w:color w:val="000000"/>
                <w:kern w:val="0"/>
                <w:sz w:val="24"/>
                <w:szCs w:val="24"/>
                <w:lang w:val="en-US" w:eastAsia="zh-CN"/>
              </w:rPr>
            </w:pPr>
            <w:r>
              <w:rPr>
                <w:rFonts w:hint="eastAsia" w:ascii="宋体" w:hAnsi="宋体" w:eastAsia="方正仿宋_GBK" w:cs="方正仿宋_GBK"/>
                <w:color w:val="000000"/>
                <w:kern w:val="0"/>
                <w:sz w:val="24"/>
                <w:szCs w:val="24"/>
                <w:lang w:val="en-US" w:eastAsia="zh-CN"/>
              </w:rPr>
              <w:t>0</w:t>
            </w:r>
          </w:p>
        </w:tc>
        <w:tc>
          <w:tcPr>
            <w:tcW w:w="831" w:type="dxa"/>
            <w:tcBorders>
              <w:tl2br w:val="nil"/>
              <w:tr2bl w:val="nil"/>
            </w:tcBorders>
            <w:noWrap w:val="0"/>
            <w:vAlign w:val="center"/>
          </w:tcPr>
          <w:p w14:paraId="0C01A2AC">
            <w:pPr>
              <w:keepNext w:val="0"/>
              <w:keepLines w:val="0"/>
              <w:pageBreakBefore w:val="0"/>
              <w:widowControl/>
              <w:kinsoku/>
              <w:wordWrap/>
              <w:overflowPunct/>
              <w:topLinePunct w:val="0"/>
              <w:autoSpaceDE/>
              <w:autoSpaceDN/>
              <w:bidi w:val="0"/>
              <w:adjustRightInd/>
              <w:snapToGrid/>
              <w:spacing w:line="360" w:lineRule="exact"/>
              <w:textAlignment w:val="auto"/>
              <w:rPr>
                <w:rFonts w:hint="default" w:ascii="宋体" w:hAnsi="宋体" w:eastAsia="方正仿宋_GBK" w:cs="方正仿宋_GBK"/>
                <w:color w:val="000000"/>
                <w:kern w:val="0"/>
                <w:sz w:val="24"/>
                <w:szCs w:val="24"/>
                <w:lang w:val="en-US" w:eastAsia="zh-CN"/>
              </w:rPr>
            </w:pPr>
            <w:r>
              <w:rPr>
                <w:rFonts w:hint="eastAsia" w:ascii="宋体" w:hAnsi="宋体" w:eastAsia="方正仿宋_GBK" w:cs="方正仿宋_GBK"/>
                <w:color w:val="000000"/>
                <w:kern w:val="0"/>
                <w:sz w:val="24"/>
                <w:szCs w:val="24"/>
                <w:lang w:val="en-US" w:eastAsia="zh-CN"/>
              </w:rPr>
              <w:t>100</w:t>
            </w:r>
          </w:p>
        </w:tc>
        <w:tc>
          <w:tcPr>
            <w:tcW w:w="916" w:type="dxa"/>
            <w:tcBorders>
              <w:tl2br w:val="nil"/>
              <w:tr2bl w:val="nil"/>
            </w:tcBorders>
            <w:noWrap w:val="0"/>
            <w:vAlign w:val="center"/>
          </w:tcPr>
          <w:p w14:paraId="06911BC5">
            <w:pPr>
              <w:keepNext w:val="0"/>
              <w:keepLines w:val="0"/>
              <w:pageBreakBefore w:val="0"/>
              <w:widowControl/>
              <w:kinsoku/>
              <w:wordWrap/>
              <w:overflowPunct/>
              <w:topLinePunct w:val="0"/>
              <w:autoSpaceDE/>
              <w:autoSpaceDN/>
              <w:bidi w:val="0"/>
              <w:adjustRightInd/>
              <w:snapToGrid/>
              <w:spacing w:line="360" w:lineRule="exact"/>
              <w:textAlignment w:val="auto"/>
              <w:rPr>
                <w:rFonts w:hint="default" w:ascii="宋体" w:hAnsi="宋体" w:eastAsia="方正仿宋_GBK" w:cs="方正仿宋_GBK"/>
                <w:color w:val="000000"/>
                <w:kern w:val="0"/>
                <w:sz w:val="24"/>
                <w:szCs w:val="24"/>
                <w:lang w:val="en-US" w:eastAsia="zh-CN"/>
              </w:rPr>
            </w:pPr>
            <w:r>
              <w:rPr>
                <w:rFonts w:hint="eastAsia" w:ascii="宋体" w:hAnsi="宋体" w:eastAsia="方正仿宋_GBK" w:cs="方正仿宋_GBK"/>
                <w:color w:val="000000"/>
                <w:kern w:val="0"/>
                <w:sz w:val="24"/>
                <w:szCs w:val="24"/>
                <w:lang w:val="en-US" w:eastAsia="zh-CN"/>
              </w:rPr>
              <w:t>10</w:t>
            </w:r>
          </w:p>
        </w:tc>
        <w:tc>
          <w:tcPr>
            <w:tcW w:w="803" w:type="dxa"/>
            <w:tcBorders>
              <w:tl2br w:val="nil"/>
              <w:tr2bl w:val="nil"/>
            </w:tcBorders>
            <w:noWrap w:val="0"/>
            <w:vAlign w:val="center"/>
          </w:tcPr>
          <w:p w14:paraId="314ADF73">
            <w:pPr>
              <w:keepNext w:val="0"/>
              <w:keepLines w:val="0"/>
              <w:pageBreakBefore w:val="0"/>
              <w:widowControl/>
              <w:kinsoku/>
              <w:wordWrap/>
              <w:overflowPunct/>
              <w:topLinePunct w:val="0"/>
              <w:autoSpaceDE/>
              <w:autoSpaceDN/>
              <w:bidi w:val="0"/>
              <w:adjustRightInd/>
              <w:snapToGrid/>
              <w:spacing w:line="360" w:lineRule="exact"/>
              <w:textAlignment w:val="auto"/>
              <w:rPr>
                <w:rFonts w:hint="default" w:ascii="宋体" w:hAnsi="宋体" w:eastAsia="方正仿宋_GBK" w:cs="方正仿宋_GBK"/>
                <w:color w:val="000000"/>
                <w:kern w:val="0"/>
                <w:sz w:val="24"/>
                <w:szCs w:val="24"/>
                <w:lang w:val="en-US" w:eastAsia="zh-CN"/>
              </w:rPr>
            </w:pPr>
            <w:r>
              <w:rPr>
                <w:rFonts w:hint="eastAsia" w:ascii="宋体" w:hAnsi="宋体" w:eastAsia="方正仿宋_GBK" w:cs="方正仿宋_GBK"/>
                <w:color w:val="000000"/>
                <w:kern w:val="0"/>
                <w:sz w:val="24"/>
                <w:szCs w:val="24"/>
                <w:lang w:val="en-US" w:eastAsia="zh-CN"/>
              </w:rPr>
              <w:t>10</w:t>
            </w:r>
          </w:p>
        </w:tc>
        <w:tc>
          <w:tcPr>
            <w:tcW w:w="1269" w:type="dxa"/>
            <w:tcBorders>
              <w:tl2br w:val="nil"/>
              <w:tr2bl w:val="nil"/>
            </w:tcBorders>
            <w:noWrap w:val="0"/>
            <w:vAlign w:val="center"/>
          </w:tcPr>
          <w:p w14:paraId="52959F44">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宋体" w:hAnsi="宋体" w:eastAsia="方正仿宋_GBK" w:cs="方正仿宋_GBK"/>
                <w:color w:val="000000"/>
                <w:kern w:val="0"/>
                <w:sz w:val="24"/>
                <w:szCs w:val="24"/>
              </w:rPr>
            </w:pPr>
          </w:p>
        </w:tc>
      </w:tr>
      <w:tr w14:paraId="57DD6A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847" w:type="dxa"/>
            <w:vMerge w:val="continue"/>
            <w:tcBorders>
              <w:tl2br w:val="nil"/>
              <w:tr2bl w:val="nil"/>
            </w:tcBorders>
            <w:noWrap w:val="0"/>
            <w:vAlign w:val="center"/>
          </w:tcPr>
          <w:p w14:paraId="7964E9CC">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方正仿宋_GBK" w:hAnsi="方正仿宋_GBK" w:eastAsia="方正仿宋_GBK" w:cs="方正仿宋_GBK"/>
                <w:color w:val="000000"/>
                <w:kern w:val="0"/>
                <w:sz w:val="24"/>
                <w:szCs w:val="24"/>
              </w:rPr>
            </w:pPr>
          </w:p>
        </w:tc>
        <w:tc>
          <w:tcPr>
            <w:tcW w:w="1175" w:type="dxa"/>
            <w:tcBorders>
              <w:tl2br w:val="nil"/>
              <w:tr2bl w:val="nil"/>
            </w:tcBorders>
            <w:noWrap w:val="0"/>
            <w:vAlign w:val="center"/>
          </w:tcPr>
          <w:p w14:paraId="3659A9BE">
            <w:pPr>
              <w:keepNext w:val="0"/>
              <w:keepLines w:val="0"/>
              <w:pageBreakBefore w:val="0"/>
              <w:widowControl/>
              <w:kinsoku/>
              <w:wordWrap/>
              <w:overflowPunct/>
              <w:topLinePunct w:val="0"/>
              <w:autoSpaceDE/>
              <w:autoSpaceDN/>
              <w:bidi w:val="0"/>
              <w:adjustRightInd/>
              <w:snapToGrid/>
              <w:spacing w:line="340" w:lineRule="exact"/>
              <w:textAlignment w:val="auto"/>
              <w:rPr>
                <w:rFonts w:hint="eastAsia" w:ascii="宋体" w:hAnsi="宋体" w:eastAsia="方正仿宋_GBK" w:cs="方正仿宋_GBK"/>
                <w:color w:val="000000"/>
                <w:kern w:val="0"/>
                <w:sz w:val="21"/>
                <w:szCs w:val="21"/>
              </w:rPr>
            </w:pPr>
            <w:r>
              <w:rPr>
                <w:rFonts w:hint="eastAsia" w:ascii="宋体" w:hAnsi="宋体" w:eastAsia="方正仿宋_GBK" w:cs="方正仿宋_GBK"/>
                <w:color w:val="000000"/>
                <w:kern w:val="0"/>
                <w:sz w:val="21"/>
                <w:szCs w:val="21"/>
              </w:rPr>
              <w:t>采用保障金方式的政府采购占比情况</w:t>
            </w:r>
          </w:p>
        </w:tc>
        <w:tc>
          <w:tcPr>
            <w:tcW w:w="455" w:type="dxa"/>
            <w:tcBorders>
              <w:tl2br w:val="nil"/>
              <w:tr2bl w:val="nil"/>
            </w:tcBorders>
            <w:noWrap w:val="0"/>
            <w:vAlign w:val="center"/>
          </w:tcPr>
          <w:p w14:paraId="722A15C9">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宋体" w:hAnsi="宋体" w:eastAsia="方正仿宋_GBK" w:cs="方正仿宋_GBK"/>
                <w:color w:val="000000"/>
                <w:kern w:val="0"/>
                <w:sz w:val="24"/>
                <w:szCs w:val="24"/>
              </w:rPr>
            </w:pPr>
          </w:p>
        </w:tc>
        <w:tc>
          <w:tcPr>
            <w:tcW w:w="909" w:type="dxa"/>
            <w:tcBorders>
              <w:tl2br w:val="nil"/>
              <w:tr2bl w:val="nil"/>
            </w:tcBorders>
            <w:noWrap w:val="0"/>
            <w:vAlign w:val="center"/>
          </w:tcPr>
          <w:p w14:paraId="2AFC1D3E">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定性</w:t>
            </w:r>
          </w:p>
        </w:tc>
        <w:tc>
          <w:tcPr>
            <w:tcW w:w="1311" w:type="dxa"/>
            <w:tcBorders>
              <w:tl2br w:val="nil"/>
              <w:tr2bl w:val="nil"/>
            </w:tcBorders>
            <w:noWrap w:val="0"/>
            <w:vAlign w:val="center"/>
          </w:tcPr>
          <w:p w14:paraId="418A0560">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宋体" w:hAnsi="宋体" w:eastAsia="方正仿宋_GBK" w:cs="方正仿宋_GBK"/>
                <w:color w:val="000000"/>
                <w:kern w:val="0"/>
                <w:sz w:val="21"/>
                <w:szCs w:val="21"/>
              </w:rPr>
            </w:pPr>
            <w:r>
              <w:rPr>
                <w:rFonts w:hint="eastAsia" w:ascii="宋体" w:hAnsi="宋体" w:eastAsia="方正仿宋_GBK" w:cs="方正仿宋_GBK"/>
                <w:color w:val="000000"/>
                <w:kern w:val="0"/>
                <w:sz w:val="21"/>
                <w:szCs w:val="21"/>
              </w:rPr>
              <w:t>无保障金采购的，得满分；保障金采购占比≤10%的，按该项指标分值得90%计算得分；占比&gt;10%，不得分。</w:t>
            </w:r>
          </w:p>
        </w:tc>
        <w:tc>
          <w:tcPr>
            <w:tcW w:w="842" w:type="dxa"/>
            <w:tcBorders>
              <w:tl2br w:val="nil"/>
              <w:tr2bl w:val="nil"/>
            </w:tcBorders>
            <w:noWrap w:val="0"/>
            <w:vAlign w:val="center"/>
          </w:tcPr>
          <w:p w14:paraId="7E02B13B">
            <w:pPr>
              <w:keepNext w:val="0"/>
              <w:keepLines w:val="0"/>
              <w:pageBreakBefore w:val="0"/>
              <w:widowControl/>
              <w:kinsoku/>
              <w:wordWrap/>
              <w:overflowPunct/>
              <w:topLinePunct w:val="0"/>
              <w:autoSpaceDE/>
              <w:autoSpaceDN/>
              <w:bidi w:val="0"/>
              <w:adjustRightInd/>
              <w:snapToGrid/>
              <w:spacing w:line="360" w:lineRule="exact"/>
              <w:textAlignment w:val="auto"/>
              <w:rPr>
                <w:rFonts w:hint="default" w:ascii="宋体" w:hAnsi="宋体" w:eastAsia="方正仿宋_GBK" w:cs="方正仿宋_GBK"/>
                <w:color w:val="000000"/>
                <w:kern w:val="0"/>
                <w:sz w:val="24"/>
                <w:szCs w:val="24"/>
                <w:lang w:val="en-US" w:eastAsia="zh-CN"/>
              </w:rPr>
            </w:pPr>
            <w:r>
              <w:rPr>
                <w:rFonts w:hint="eastAsia" w:ascii="宋体" w:hAnsi="宋体" w:eastAsia="方正仿宋_GBK" w:cs="方正仿宋_GBK"/>
                <w:color w:val="000000"/>
                <w:kern w:val="0"/>
                <w:sz w:val="24"/>
                <w:szCs w:val="24"/>
                <w:lang w:val="en-US" w:eastAsia="zh-CN"/>
              </w:rPr>
              <w:t>未完成</w:t>
            </w:r>
          </w:p>
        </w:tc>
        <w:tc>
          <w:tcPr>
            <w:tcW w:w="774" w:type="dxa"/>
            <w:tcBorders>
              <w:tl2br w:val="nil"/>
              <w:tr2bl w:val="nil"/>
            </w:tcBorders>
            <w:noWrap w:val="0"/>
            <w:vAlign w:val="center"/>
          </w:tcPr>
          <w:p w14:paraId="2E7C06DB">
            <w:pPr>
              <w:keepNext w:val="0"/>
              <w:keepLines w:val="0"/>
              <w:pageBreakBefore w:val="0"/>
              <w:widowControl/>
              <w:kinsoku/>
              <w:wordWrap/>
              <w:overflowPunct/>
              <w:topLinePunct w:val="0"/>
              <w:autoSpaceDE/>
              <w:autoSpaceDN/>
              <w:bidi w:val="0"/>
              <w:adjustRightInd/>
              <w:snapToGrid/>
              <w:spacing w:line="360" w:lineRule="exact"/>
              <w:textAlignment w:val="auto"/>
              <w:rPr>
                <w:rFonts w:hint="default" w:ascii="宋体" w:hAnsi="宋体" w:eastAsia="方正仿宋_GBK" w:cs="方正仿宋_GBK"/>
                <w:color w:val="000000"/>
                <w:kern w:val="0"/>
                <w:sz w:val="24"/>
                <w:szCs w:val="24"/>
                <w:lang w:val="en-US" w:eastAsia="zh-CN"/>
              </w:rPr>
            </w:pPr>
            <w:r>
              <w:rPr>
                <w:rFonts w:hint="eastAsia" w:ascii="宋体" w:hAnsi="宋体" w:eastAsia="方正仿宋_GBK" w:cs="方正仿宋_GBK"/>
                <w:color w:val="000000"/>
                <w:kern w:val="0"/>
                <w:sz w:val="24"/>
                <w:szCs w:val="24"/>
                <w:lang w:val="en-US" w:eastAsia="zh-CN"/>
              </w:rPr>
              <w:t>100</w:t>
            </w:r>
          </w:p>
        </w:tc>
        <w:tc>
          <w:tcPr>
            <w:tcW w:w="831" w:type="dxa"/>
            <w:tcBorders>
              <w:tl2br w:val="nil"/>
              <w:tr2bl w:val="nil"/>
            </w:tcBorders>
            <w:noWrap w:val="0"/>
            <w:vAlign w:val="center"/>
          </w:tcPr>
          <w:p w14:paraId="7B669A06">
            <w:pPr>
              <w:keepNext w:val="0"/>
              <w:keepLines w:val="0"/>
              <w:pageBreakBefore w:val="0"/>
              <w:widowControl/>
              <w:kinsoku/>
              <w:wordWrap/>
              <w:overflowPunct/>
              <w:topLinePunct w:val="0"/>
              <w:autoSpaceDE/>
              <w:autoSpaceDN/>
              <w:bidi w:val="0"/>
              <w:adjustRightInd/>
              <w:snapToGrid/>
              <w:spacing w:line="360" w:lineRule="exact"/>
              <w:textAlignment w:val="auto"/>
              <w:rPr>
                <w:rFonts w:hint="default" w:ascii="宋体" w:hAnsi="宋体" w:eastAsia="方正仿宋_GBK" w:cs="方正仿宋_GBK"/>
                <w:color w:val="000000"/>
                <w:kern w:val="0"/>
                <w:sz w:val="24"/>
                <w:szCs w:val="24"/>
                <w:lang w:val="en-US" w:eastAsia="zh-CN"/>
              </w:rPr>
            </w:pPr>
            <w:r>
              <w:rPr>
                <w:rFonts w:hint="eastAsia" w:ascii="宋体" w:hAnsi="宋体" w:eastAsia="方正仿宋_GBK" w:cs="方正仿宋_GBK"/>
                <w:color w:val="000000"/>
                <w:kern w:val="0"/>
                <w:sz w:val="24"/>
                <w:szCs w:val="24"/>
                <w:lang w:val="en-US" w:eastAsia="zh-CN"/>
              </w:rPr>
              <w:t>0</w:t>
            </w:r>
          </w:p>
        </w:tc>
        <w:tc>
          <w:tcPr>
            <w:tcW w:w="916" w:type="dxa"/>
            <w:tcBorders>
              <w:tl2br w:val="nil"/>
              <w:tr2bl w:val="nil"/>
            </w:tcBorders>
            <w:noWrap w:val="0"/>
            <w:vAlign w:val="center"/>
          </w:tcPr>
          <w:p w14:paraId="33AA20BF">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宋体" w:hAnsi="宋体" w:eastAsia="方正仿宋_GBK" w:cs="方正仿宋_GBK"/>
                <w:color w:val="000000"/>
                <w:kern w:val="0"/>
                <w:sz w:val="24"/>
                <w:szCs w:val="24"/>
                <w:lang w:val="en-US" w:eastAsia="zh-CN"/>
              </w:rPr>
            </w:pPr>
            <w:r>
              <w:rPr>
                <w:rFonts w:hint="eastAsia" w:ascii="宋体" w:hAnsi="宋体" w:eastAsia="方正仿宋_GBK" w:cs="方正仿宋_GBK"/>
                <w:color w:val="000000"/>
                <w:kern w:val="0"/>
                <w:sz w:val="24"/>
                <w:szCs w:val="24"/>
                <w:lang w:val="en-US" w:eastAsia="zh-CN"/>
              </w:rPr>
              <w:t>5</w:t>
            </w:r>
          </w:p>
        </w:tc>
        <w:tc>
          <w:tcPr>
            <w:tcW w:w="803" w:type="dxa"/>
            <w:tcBorders>
              <w:tl2br w:val="nil"/>
              <w:tr2bl w:val="nil"/>
            </w:tcBorders>
            <w:noWrap w:val="0"/>
            <w:vAlign w:val="center"/>
          </w:tcPr>
          <w:p w14:paraId="7B48B4B2">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宋体" w:hAnsi="宋体" w:eastAsia="方正仿宋_GBK" w:cs="方正仿宋_GBK"/>
                <w:color w:val="000000"/>
                <w:kern w:val="0"/>
                <w:sz w:val="24"/>
                <w:szCs w:val="24"/>
                <w:lang w:val="en-US" w:eastAsia="zh-CN"/>
              </w:rPr>
            </w:pPr>
            <w:r>
              <w:rPr>
                <w:rFonts w:hint="eastAsia" w:ascii="宋体" w:hAnsi="宋体" w:eastAsia="方正仿宋_GBK" w:cs="方正仿宋_GBK"/>
                <w:color w:val="000000"/>
                <w:kern w:val="0"/>
                <w:sz w:val="24"/>
                <w:szCs w:val="24"/>
                <w:lang w:val="en-US" w:eastAsia="zh-CN"/>
              </w:rPr>
              <w:t>0</w:t>
            </w:r>
          </w:p>
        </w:tc>
        <w:tc>
          <w:tcPr>
            <w:tcW w:w="1269" w:type="dxa"/>
            <w:tcBorders>
              <w:tl2br w:val="nil"/>
              <w:tr2bl w:val="nil"/>
            </w:tcBorders>
            <w:noWrap w:val="0"/>
            <w:vAlign w:val="center"/>
          </w:tcPr>
          <w:p w14:paraId="611AEC96">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宋体" w:hAnsi="宋体" w:eastAsia="方正仿宋_GBK" w:cs="方正仿宋_GBK"/>
                <w:color w:val="000000"/>
                <w:kern w:val="0"/>
                <w:sz w:val="24"/>
                <w:szCs w:val="24"/>
              </w:rPr>
            </w:pPr>
            <w:r>
              <w:rPr>
                <w:rFonts w:hint="eastAsia" w:ascii="宋体" w:hAnsi="宋体" w:eastAsia="方正仿宋_GBK" w:cs="方正仿宋_GBK"/>
                <w:color w:val="000000"/>
                <w:kern w:val="0"/>
                <w:sz w:val="21"/>
                <w:szCs w:val="21"/>
              </w:rPr>
              <w:t>因江津区电子政务外网链路租赁服务项目少预算了区与市间的链路租赁费用，采购时只能用保障金方式采购。</w:t>
            </w:r>
          </w:p>
        </w:tc>
      </w:tr>
    </w:tbl>
    <w:p w14:paraId="7CD826AD">
      <w:pPr>
        <w:pStyle w:val="9"/>
        <w:keepNext w:val="0"/>
        <w:keepLines w:val="0"/>
        <w:pageBreakBefore w:val="0"/>
        <w:tabs>
          <w:tab w:val="center" w:pos="4153"/>
          <w:tab w:val="left" w:pos="7275"/>
        </w:tabs>
        <w:kinsoku/>
        <w:wordWrap/>
        <w:overflowPunct/>
        <w:topLinePunct w:val="0"/>
        <w:autoSpaceDN/>
        <w:bidi w:val="0"/>
        <w:snapToGrid/>
        <w:spacing w:line="579" w:lineRule="exact"/>
        <w:ind w:firstLine="0" w:firstLineChars="0"/>
        <w:jc w:val="both"/>
        <w:textAlignment w:val="auto"/>
        <w:rPr>
          <w:rFonts w:hint="eastAsia" w:ascii="宋体" w:hAnsi="宋体" w:eastAsia="方正仿宋_GBK" w:cs="方正仿宋_GBK"/>
          <w:color w:val="000000"/>
          <w:kern w:val="0"/>
          <w:sz w:val="36"/>
          <w:szCs w:val="36"/>
          <w:lang w:val="en-US" w:eastAsia="zh-CN"/>
        </w:rPr>
      </w:pPr>
    </w:p>
    <w:p w14:paraId="09641722">
      <w:pPr>
        <w:pStyle w:val="9"/>
        <w:keepNext w:val="0"/>
        <w:keepLines w:val="0"/>
        <w:pageBreakBefore w:val="0"/>
        <w:tabs>
          <w:tab w:val="center" w:pos="4153"/>
          <w:tab w:val="left" w:pos="7275"/>
        </w:tabs>
        <w:kinsoku/>
        <w:wordWrap/>
        <w:overflowPunct/>
        <w:topLinePunct w:val="0"/>
        <w:autoSpaceDN/>
        <w:bidi w:val="0"/>
        <w:snapToGrid/>
        <w:spacing w:line="579" w:lineRule="exact"/>
        <w:ind w:firstLine="0" w:firstLineChars="0"/>
        <w:jc w:val="center"/>
        <w:textAlignment w:val="auto"/>
        <w:rPr>
          <w:rFonts w:hint="eastAsia" w:ascii="方正黑体_GBK" w:hAnsi="方正黑体_GBK" w:eastAsia="方正黑体_GBK" w:cs="方正黑体_GBK"/>
          <w:b w:val="0"/>
          <w:bCs w:val="0"/>
          <w:color w:val="000000"/>
          <w:kern w:val="0"/>
          <w:sz w:val="36"/>
          <w:szCs w:val="36"/>
          <w:lang w:val="en-US" w:eastAsia="zh-CN"/>
        </w:rPr>
      </w:pPr>
    </w:p>
    <w:p w14:paraId="6DAC0250">
      <w:pPr>
        <w:pStyle w:val="9"/>
        <w:keepNext w:val="0"/>
        <w:keepLines w:val="0"/>
        <w:pageBreakBefore w:val="0"/>
        <w:tabs>
          <w:tab w:val="center" w:pos="4153"/>
          <w:tab w:val="left" w:pos="7275"/>
        </w:tabs>
        <w:kinsoku/>
        <w:wordWrap/>
        <w:overflowPunct/>
        <w:topLinePunct w:val="0"/>
        <w:autoSpaceDN/>
        <w:bidi w:val="0"/>
        <w:snapToGrid/>
        <w:spacing w:line="579" w:lineRule="exact"/>
        <w:ind w:firstLine="0" w:firstLineChars="0"/>
        <w:jc w:val="center"/>
        <w:textAlignment w:val="auto"/>
        <w:rPr>
          <w:rFonts w:hint="eastAsia" w:ascii="方正黑体_GBK" w:hAnsi="方正黑体_GBK" w:eastAsia="方正黑体_GBK" w:cs="方正黑体_GBK"/>
          <w:b w:val="0"/>
          <w:bCs w:val="0"/>
          <w:color w:val="000000"/>
          <w:kern w:val="0"/>
          <w:sz w:val="36"/>
          <w:szCs w:val="36"/>
        </w:rPr>
      </w:pPr>
      <w:r>
        <w:rPr>
          <w:rFonts w:hint="eastAsia" w:ascii="方正黑体_GBK" w:hAnsi="方正黑体_GBK" w:eastAsia="方正黑体_GBK" w:cs="方正黑体_GBK"/>
          <w:b w:val="0"/>
          <w:bCs w:val="0"/>
          <w:color w:val="000000"/>
          <w:kern w:val="0"/>
          <w:sz w:val="36"/>
          <w:szCs w:val="36"/>
          <w:lang w:val="en-US" w:eastAsia="zh-CN"/>
        </w:rPr>
        <w:t>2024年度项目</w:t>
      </w:r>
      <w:r>
        <w:rPr>
          <w:rFonts w:hint="eastAsia" w:ascii="方正黑体_GBK" w:hAnsi="方正黑体_GBK" w:eastAsia="方正黑体_GBK" w:cs="方正黑体_GBK"/>
          <w:b w:val="0"/>
          <w:bCs w:val="0"/>
          <w:color w:val="000000"/>
          <w:kern w:val="0"/>
          <w:sz w:val="36"/>
          <w:szCs w:val="36"/>
        </w:rPr>
        <w:t>绩效自评表</w:t>
      </w:r>
    </w:p>
    <w:tbl>
      <w:tblPr>
        <w:tblStyle w:val="6"/>
        <w:tblW w:w="101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7"/>
        <w:gridCol w:w="1118"/>
        <w:gridCol w:w="774"/>
        <w:gridCol w:w="854"/>
        <w:gridCol w:w="159"/>
        <w:gridCol w:w="751"/>
        <w:gridCol w:w="524"/>
        <w:gridCol w:w="353"/>
        <w:gridCol w:w="910"/>
        <w:gridCol w:w="888"/>
        <w:gridCol w:w="968"/>
        <w:gridCol w:w="888"/>
        <w:gridCol w:w="206"/>
        <w:gridCol w:w="892"/>
      </w:tblGrid>
      <w:tr w14:paraId="364AF8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847" w:type="dxa"/>
            <w:tcBorders>
              <w:tl2br w:val="nil"/>
              <w:tr2bl w:val="nil"/>
            </w:tcBorders>
            <w:noWrap w:val="0"/>
            <w:vAlign w:val="center"/>
          </w:tcPr>
          <w:p w14:paraId="16AF6D30">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项目</w:t>
            </w:r>
          </w:p>
          <w:p w14:paraId="67EAB993">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名称</w:t>
            </w:r>
          </w:p>
        </w:tc>
        <w:tc>
          <w:tcPr>
            <w:tcW w:w="4180" w:type="dxa"/>
            <w:gridSpan w:val="6"/>
            <w:tcBorders>
              <w:tl2br w:val="nil"/>
              <w:tr2bl w:val="nil"/>
            </w:tcBorders>
            <w:noWrap w:val="0"/>
            <w:vAlign w:val="center"/>
          </w:tcPr>
          <w:p w14:paraId="5A0ED430">
            <w:pPr>
              <w:keepNext w:val="0"/>
              <w:keepLines w:val="0"/>
              <w:pageBreakBefore w:val="0"/>
              <w:widowControl/>
              <w:kinsoku/>
              <w:wordWrap/>
              <w:overflowPunct/>
              <w:topLinePunct w:val="0"/>
              <w:autoSpaceDN/>
              <w:bidi w:val="0"/>
              <w:snapToGrid/>
              <w:spacing w:line="579" w:lineRule="exact"/>
              <w:jc w:val="center"/>
              <w:textAlignment w:val="auto"/>
              <w:rPr>
                <w:rFonts w:hint="eastAsia"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电子政务平台运维</w:t>
            </w:r>
          </w:p>
        </w:tc>
        <w:tc>
          <w:tcPr>
            <w:tcW w:w="1263" w:type="dxa"/>
            <w:gridSpan w:val="2"/>
            <w:tcBorders>
              <w:tl2br w:val="nil"/>
              <w:tr2bl w:val="nil"/>
            </w:tcBorders>
            <w:noWrap w:val="0"/>
            <w:vAlign w:val="center"/>
          </w:tcPr>
          <w:p w14:paraId="3DB2794B">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自评</w:t>
            </w:r>
          </w:p>
          <w:p w14:paraId="74592D17">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总分</w:t>
            </w:r>
          </w:p>
          <w:p w14:paraId="1FD11475">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（分）</w:t>
            </w:r>
          </w:p>
        </w:tc>
        <w:tc>
          <w:tcPr>
            <w:tcW w:w="3842" w:type="dxa"/>
            <w:gridSpan w:val="5"/>
            <w:tcBorders>
              <w:tl2br w:val="nil"/>
              <w:tr2bl w:val="nil"/>
            </w:tcBorders>
            <w:noWrap w:val="0"/>
            <w:vAlign w:val="center"/>
          </w:tcPr>
          <w:p w14:paraId="7BAC9C12">
            <w:pPr>
              <w:keepNext w:val="0"/>
              <w:keepLines w:val="0"/>
              <w:pageBreakBefore w:val="0"/>
              <w:widowControl/>
              <w:kinsoku/>
              <w:wordWrap/>
              <w:overflowPunct/>
              <w:topLinePunct w:val="0"/>
              <w:autoSpaceDN/>
              <w:bidi w:val="0"/>
              <w:snapToGrid/>
              <w:spacing w:line="579" w:lineRule="exact"/>
              <w:textAlignment w:val="auto"/>
              <w:rPr>
                <w:rFonts w:hint="default" w:ascii="宋体" w:hAnsi="宋体" w:eastAsia="方正仿宋_GBK" w:cs="方正仿宋_GBK"/>
                <w:color w:val="000000"/>
                <w:kern w:val="0"/>
                <w:sz w:val="24"/>
                <w:szCs w:val="24"/>
                <w:lang w:val="en-US" w:eastAsia="zh-CN"/>
              </w:rPr>
            </w:pPr>
            <w:r>
              <w:rPr>
                <w:rFonts w:hint="eastAsia" w:ascii="宋体" w:hAnsi="宋体" w:eastAsia="方正仿宋_GBK" w:cs="方正仿宋_GBK"/>
                <w:color w:val="000000"/>
                <w:kern w:val="0"/>
                <w:sz w:val="24"/>
                <w:szCs w:val="24"/>
                <w:lang w:val="en-US" w:eastAsia="zh-CN"/>
              </w:rPr>
              <w:t>100</w:t>
            </w:r>
          </w:p>
        </w:tc>
      </w:tr>
      <w:tr w14:paraId="6834A3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847" w:type="dxa"/>
            <w:tcBorders>
              <w:tl2br w:val="nil"/>
              <w:tr2bl w:val="nil"/>
            </w:tcBorders>
            <w:noWrap w:val="0"/>
            <w:vAlign w:val="center"/>
          </w:tcPr>
          <w:p w14:paraId="0E9B272B">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lang w:val="en-US" w:eastAsia="zh-CN"/>
              </w:rPr>
              <w:t>项目</w:t>
            </w:r>
            <w:r>
              <w:rPr>
                <w:rFonts w:hint="eastAsia" w:ascii="宋体" w:hAnsi="宋体" w:eastAsia="方正仿宋_GBK" w:cs="方正仿宋_GBK"/>
                <w:color w:val="000000"/>
                <w:kern w:val="0"/>
                <w:sz w:val="24"/>
                <w:szCs w:val="24"/>
              </w:rPr>
              <w:t>主管</w:t>
            </w:r>
          </w:p>
          <w:p w14:paraId="3219ED2D">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部门</w:t>
            </w:r>
          </w:p>
        </w:tc>
        <w:tc>
          <w:tcPr>
            <w:tcW w:w="1892" w:type="dxa"/>
            <w:gridSpan w:val="2"/>
            <w:tcBorders>
              <w:tl2br w:val="nil"/>
              <w:tr2bl w:val="nil"/>
            </w:tcBorders>
            <w:noWrap w:val="0"/>
            <w:vAlign w:val="center"/>
          </w:tcPr>
          <w:p w14:paraId="46FFC996">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105-重庆市江津区政务服务管理办公室</w:t>
            </w:r>
          </w:p>
        </w:tc>
        <w:tc>
          <w:tcPr>
            <w:tcW w:w="854" w:type="dxa"/>
            <w:tcBorders>
              <w:tl2br w:val="nil"/>
              <w:tr2bl w:val="nil"/>
            </w:tcBorders>
            <w:noWrap w:val="0"/>
            <w:vAlign w:val="center"/>
          </w:tcPr>
          <w:p w14:paraId="6169CE2D">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方正仿宋_GBK" w:cs="方正仿宋_GBK"/>
                <w:color w:val="000000"/>
                <w:kern w:val="0"/>
                <w:sz w:val="24"/>
                <w:szCs w:val="24"/>
                <w:lang w:val="en-US" w:eastAsia="zh-CN"/>
              </w:rPr>
            </w:pPr>
            <w:r>
              <w:rPr>
                <w:rFonts w:hint="eastAsia" w:ascii="宋体" w:hAnsi="宋体" w:eastAsia="方正仿宋_GBK" w:cs="方正仿宋_GBK"/>
                <w:color w:val="000000"/>
                <w:kern w:val="0"/>
                <w:sz w:val="24"/>
                <w:szCs w:val="24"/>
                <w:lang w:val="en-US" w:eastAsia="zh-CN"/>
              </w:rPr>
              <w:t>财政归口科室</w:t>
            </w:r>
          </w:p>
        </w:tc>
        <w:tc>
          <w:tcPr>
            <w:tcW w:w="1434" w:type="dxa"/>
            <w:gridSpan w:val="3"/>
            <w:tcBorders>
              <w:tl2br w:val="nil"/>
              <w:tr2bl w:val="nil"/>
            </w:tcBorders>
            <w:noWrap w:val="0"/>
            <w:vAlign w:val="center"/>
          </w:tcPr>
          <w:p w14:paraId="3EBC5A23">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001-行政政法科</w:t>
            </w:r>
          </w:p>
        </w:tc>
        <w:tc>
          <w:tcPr>
            <w:tcW w:w="1263" w:type="dxa"/>
            <w:gridSpan w:val="2"/>
            <w:tcBorders>
              <w:tl2br w:val="nil"/>
              <w:tr2bl w:val="nil"/>
            </w:tcBorders>
            <w:noWrap w:val="0"/>
            <w:vAlign w:val="center"/>
          </w:tcPr>
          <w:p w14:paraId="4ECDA905">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项目</w:t>
            </w:r>
          </w:p>
          <w:p w14:paraId="717FC30E">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联系人</w:t>
            </w:r>
          </w:p>
        </w:tc>
        <w:tc>
          <w:tcPr>
            <w:tcW w:w="888" w:type="dxa"/>
            <w:tcBorders>
              <w:tl2br w:val="nil"/>
              <w:tr2bl w:val="nil"/>
            </w:tcBorders>
            <w:noWrap w:val="0"/>
            <w:vAlign w:val="center"/>
          </w:tcPr>
          <w:p w14:paraId="34042AA0">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沈有斐、李艳</w:t>
            </w:r>
          </w:p>
        </w:tc>
        <w:tc>
          <w:tcPr>
            <w:tcW w:w="968" w:type="dxa"/>
            <w:tcBorders>
              <w:tl2br w:val="nil"/>
              <w:tr2bl w:val="nil"/>
            </w:tcBorders>
            <w:noWrap w:val="0"/>
            <w:vAlign w:val="center"/>
          </w:tcPr>
          <w:p w14:paraId="5CF264AB">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联系电话</w:t>
            </w:r>
          </w:p>
        </w:tc>
        <w:tc>
          <w:tcPr>
            <w:tcW w:w="1986" w:type="dxa"/>
            <w:gridSpan w:val="3"/>
            <w:tcBorders>
              <w:tl2br w:val="nil"/>
              <w:tr2bl w:val="nil"/>
            </w:tcBorders>
            <w:noWrap w:val="0"/>
            <w:vAlign w:val="center"/>
          </w:tcPr>
          <w:p w14:paraId="53AB9A40">
            <w:pPr>
              <w:keepNext w:val="0"/>
              <w:keepLines w:val="0"/>
              <w:pageBreakBefore w:val="0"/>
              <w:widowControl/>
              <w:kinsoku/>
              <w:wordWrap/>
              <w:overflowPunct/>
              <w:topLinePunct w:val="0"/>
              <w:autoSpaceDE/>
              <w:autoSpaceDN/>
              <w:bidi w:val="0"/>
              <w:adjustRightInd/>
              <w:snapToGrid/>
              <w:spacing w:line="360" w:lineRule="exact"/>
              <w:textAlignment w:val="auto"/>
              <w:rPr>
                <w:rFonts w:hint="default" w:ascii="宋体" w:hAnsi="宋体" w:eastAsia="方正仿宋_GBK" w:cs="方正仿宋_GBK"/>
                <w:color w:val="000000"/>
                <w:kern w:val="0"/>
                <w:sz w:val="24"/>
                <w:szCs w:val="24"/>
                <w:lang w:val="en-US" w:eastAsia="zh-CN"/>
              </w:rPr>
            </w:pPr>
            <w:r>
              <w:rPr>
                <w:rFonts w:hint="eastAsia" w:ascii="宋体" w:hAnsi="宋体" w:eastAsia="方正仿宋_GBK" w:cs="方正仿宋_GBK"/>
                <w:color w:val="000000"/>
                <w:kern w:val="0"/>
                <w:sz w:val="24"/>
                <w:szCs w:val="24"/>
              </w:rPr>
              <w:t>13996214789</w:t>
            </w:r>
            <w:r>
              <w:rPr>
                <w:rFonts w:hint="eastAsia" w:ascii="宋体" w:hAnsi="宋体" w:eastAsia="方正仿宋_GBK" w:cs="方正仿宋_GBK"/>
                <w:color w:val="000000"/>
                <w:kern w:val="0"/>
                <w:sz w:val="24"/>
                <w:szCs w:val="24"/>
                <w:lang w:eastAsia="zh-CN"/>
              </w:rPr>
              <w:t>、</w:t>
            </w:r>
            <w:r>
              <w:rPr>
                <w:rFonts w:hint="eastAsia" w:ascii="宋体" w:hAnsi="宋体" w:eastAsia="方正仿宋_GBK" w:cs="方正仿宋_GBK"/>
                <w:color w:val="000000"/>
                <w:kern w:val="0"/>
                <w:sz w:val="24"/>
                <w:szCs w:val="24"/>
                <w:lang w:val="en-US" w:eastAsia="zh-CN"/>
              </w:rPr>
              <w:t>18696641116</w:t>
            </w:r>
          </w:p>
        </w:tc>
      </w:tr>
      <w:tr w14:paraId="72723F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847" w:type="dxa"/>
            <w:vMerge w:val="restart"/>
            <w:tcBorders>
              <w:tl2br w:val="nil"/>
              <w:tr2bl w:val="nil"/>
            </w:tcBorders>
            <w:noWrap w:val="0"/>
            <w:textDirection w:val="tbRlV"/>
            <w:vAlign w:val="center"/>
          </w:tcPr>
          <w:p w14:paraId="77EB0B57">
            <w:pPr>
              <w:keepNext w:val="0"/>
              <w:keepLines w:val="0"/>
              <w:pageBreakBefore w:val="0"/>
              <w:widowControl/>
              <w:kinsoku/>
              <w:wordWrap/>
              <w:overflowPunct/>
              <w:topLinePunct w:val="0"/>
              <w:autoSpaceDN/>
              <w:bidi w:val="0"/>
              <w:snapToGrid/>
              <w:spacing w:line="579" w:lineRule="exact"/>
              <w:ind w:left="113" w:right="113"/>
              <w:jc w:val="center"/>
              <w:textAlignment w:val="auto"/>
              <w:rPr>
                <w:rFonts w:hint="eastAsia"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项目资金（万元）</w:t>
            </w:r>
          </w:p>
        </w:tc>
        <w:tc>
          <w:tcPr>
            <w:tcW w:w="1892" w:type="dxa"/>
            <w:gridSpan w:val="2"/>
            <w:vMerge w:val="restart"/>
            <w:tcBorders>
              <w:tl2br w:val="nil"/>
              <w:tr2bl w:val="nil"/>
            </w:tcBorders>
            <w:noWrap w:val="0"/>
            <w:vAlign w:val="center"/>
          </w:tcPr>
          <w:p w14:paraId="306B8EC5">
            <w:pPr>
              <w:keepNext w:val="0"/>
              <w:keepLines w:val="0"/>
              <w:pageBreakBefore w:val="0"/>
              <w:kinsoku/>
              <w:wordWrap/>
              <w:overflowPunct/>
              <w:topLinePunct w:val="0"/>
              <w:autoSpaceDN/>
              <w:bidi w:val="0"/>
              <w:snapToGrid/>
              <w:spacing w:line="579" w:lineRule="exact"/>
              <w:jc w:val="center"/>
              <w:textAlignment w:val="auto"/>
              <w:rPr>
                <w:rFonts w:hint="eastAsia"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年度总金额</w:t>
            </w:r>
          </w:p>
        </w:tc>
        <w:tc>
          <w:tcPr>
            <w:tcW w:w="854" w:type="dxa"/>
            <w:tcBorders>
              <w:tl2br w:val="nil"/>
              <w:tr2bl w:val="nil"/>
            </w:tcBorders>
            <w:noWrap w:val="0"/>
            <w:vAlign w:val="center"/>
          </w:tcPr>
          <w:p w14:paraId="15C4B7F2">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年初</w:t>
            </w:r>
          </w:p>
          <w:p w14:paraId="256B6D47">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预算数</w:t>
            </w:r>
          </w:p>
        </w:tc>
        <w:tc>
          <w:tcPr>
            <w:tcW w:w="1434" w:type="dxa"/>
            <w:gridSpan w:val="3"/>
            <w:tcBorders>
              <w:tl2br w:val="nil"/>
              <w:tr2bl w:val="nil"/>
            </w:tcBorders>
            <w:noWrap w:val="0"/>
            <w:vAlign w:val="center"/>
          </w:tcPr>
          <w:p w14:paraId="03E37A39">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方正仿宋_GBK" w:cs="方正仿宋_GBK"/>
                <w:color w:val="000000"/>
                <w:kern w:val="0"/>
                <w:sz w:val="24"/>
                <w:szCs w:val="24"/>
                <w:lang w:val="en-US" w:eastAsia="zh-CN"/>
              </w:rPr>
            </w:pPr>
            <w:r>
              <w:rPr>
                <w:rFonts w:hint="eastAsia" w:ascii="宋体" w:hAnsi="宋体" w:eastAsia="方正仿宋_GBK" w:cs="方正仿宋_GBK"/>
                <w:color w:val="000000"/>
                <w:kern w:val="0"/>
                <w:sz w:val="24"/>
                <w:szCs w:val="24"/>
                <w:lang w:val="en-US" w:eastAsia="zh-CN"/>
              </w:rPr>
              <w:t>全年（调整）预算数</w:t>
            </w:r>
          </w:p>
        </w:tc>
        <w:tc>
          <w:tcPr>
            <w:tcW w:w="2151" w:type="dxa"/>
            <w:gridSpan w:val="3"/>
            <w:tcBorders>
              <w:tl2br w:val="nil"/>
              <w:tr2bl w:val="nil"/>
            </w:tcBorders>
            <w:noWrap w:val="0"/>
            <w:vAlign w:val="center"/>
          </w:tcPr>
          <w:p w14:paraId="6D82C29E">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全年执行数</w:t>
            </w:r>
          </w:p>
        </w:tc>
        <w:tc>
          <w:tcPr>
            <w:tcW w:w="968" w:type="dxa"/>
            <w:tcBorders>
              <w:tl2br w:val="nil"/>
              <w:tr2bl w:val="nil"/>
            </w:tcBorders>
            <w:noWrap w:val="0"/>
            <w:vAlign w:val="center"/>
          </w:tcPr>
          <w:p w14:paraId="200DC14B">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执行率</w:t>
            </w:r>
          </w:p>
          <w:p w14:paraId="50516E4C">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w:t>
            </w:r>
          </w:p>
        </w:tc>
        <w:tc>
          <w:tcPr>
            <w:tcW w:w="888" w:type="dxa"/>
            <w:tcBorders>
              <w:tl2br w:val="nil"/>
              <w:tr2bl w:val="nil"/>
            </w:tcBorders>
            <w:noWrap w:val="0"/>
            <w:vAlign w:val="center"/>
          </w:tcPr>
          <w:p w14:paraId="16F72880">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执行率</w:t>
            </w:r>
          </w:p>
          <w:p w14:paraId="28971873">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权重</w:t>
            </w:r>
          </w:p>
        </w:tc>
        <w:tc>
          <w:tcPr>
            <w:tcW w:w="1098" w:type="dxa"/>
            <w:gridSpan w:val="2"/>
            <w:tcBorders>
              <w:tl2br w:val="nil"/>
              <w:tr2bl w:val="nil"/>
            </w:tcBorders>
            <w:noWrap w:val="0"/>
            <w:vAlign w:val="center"/>
          </w:tcPr>
          <w:p w14:paraId="56F3D30E">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执行率</w:t>
            </w:r>
          </w:p>
          <w:p w14:paraId="40745544">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得分</w:t>
            </w:r>
          </w:p>
          <w:p w14:paraId="567CC704">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（分）</w:t>
            </w:r>
          </w:p>
        </w:tc>
      </w:tr>
      <w:tr w14:paraId="2EF74C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847" w:type="dxa"/>
            <w:vMerge w:val="continue"/>
            <w:tcBorders>
              <w:tl2br w:val="nil"/>
              <w:tr2bl w:val="nil"/>
            </w:tcBorders>
            <w:noWrap w:val="0"/>
            <w:vAlign w:val="center"/>
          </w:tcPr>
          <w:p w14:paraId="04C6EB3C">
            <w:pPr>
              <w:keepNext w:val="0"/>
              <w:keepLines w:val="0"/>
              <w:pageBreakBefore w:val="0"/>
              <w:widowControl/>
              <w:kinsoku/>
              <w:wordWrap/>
              <w:overflowPunct/>
              <w:topLinePunct w:val="0"/>
              <w:autoSpaceDN/>
              <w:bidi w:val="0"/>
              <w:snapToGrid/>
              <w:spacing w:line="579" w:lineRule="exact"/>
              <w:textAlignment w:val="auto"/>
              <w:rPr>
                <w:rFonts w:hint="eastAsia" w:ascii="宋体" w:hAnsi="宋体" w:eastAsia="方正仿宋_GBK" w:cs="方正仿宋_GBK"/>
                <w:color w:val="000000"/>
                <w:kern w:val="0"/>
                <w:sz w:val="24"/>
                <w:szCs w:val="24"/>
              </w:rPr>
            </w:pPr>
          </w:p>
        </w:tc>
        <w:tc>
          <w:tcPr>
            <w:tcW w:w="1892" w:type="dxa"/>
            <w:gridSpan w:val="2"/>
            <w:vMerge w:val="continue"/>
            <w:tcBorders>
              <w:tl2br w:val="nil"/>
              <w:tr2bl w:val="nil"/>
            </w:tcBorders>
            <w:noWrap w:val="0"/>
            <w:vAlign w:val="center"/>
          </w:tcPr>
          <w:p w14:paraId="2020D2E5">
            <w:pPr>
              <w:keepNext w:val="0"/>
              <w:keepLines w:val="0"/>
              <w:pageBreakBefore w:val="0"/>
              <w:kinsoku/>
              <w:wordWrap/>
              <w:overflowPunct/>
              <w:topLinePunct w:val="0"/>
              <w:autoSpaceDN/>
              <w:bidi w:val="0"/>
              <w:snapToGrid/>
              <w:spacing w:line="579" w:lineRule="exact"/>
              <w:jc w:val="center"/>
              <w:textAlignment w:val="auto"/>
              <w:rPr>
                <w:rFonts w:hint="eastAsia" w:ascii="宋体" w:hAnsi="宋体" w:eastAsia="方正仿宋_GBK" w:cs="方正仿宋_GBK"/>
                <w:color w:val="000000"/>
                <w:kern w:val="0"/>
                <w:sz w:val="24"/>
                <w:szCs w:val="24"/>
              </w:rPr>
            </w:pPr>
          </w:p>
        </w:tc>
        <w:tc>
          <w:tcPr>
            <w:tcW w:w="854" w:type="dxa"/>
            <w:tcBorders>
              <w:tl2br w:val="nil"/>
              <w:tr2bl w:val="nil"/>
            </w:tcBorders>
            <w:noWrap w:val="0"/>
            <w:vAlign w:val="center"/>
          </w:tcPr>
          <w:p w14:paraId="5F16A489">
            <w:pPr>
              <w:keepNext w:val="0"/>
              <w:keepLines w:val="0"/>
              <w:pageBreakBefore w:val="0"/>
              <w:widowControl/>
              <w:kinsoku/>
              <w:wordWrap/>
              <w:overflowPunct/>
              <w:topLinePunct w:val="0"/>
              <w:autoSpaceDN/>
              <w:bidi w:val="0"/>
              <w:snapToGrid/>
              <w:spacing w:line="579" w:lineRule="exact"/>
              <w:jc w:val="center"/>
              <w:textAlignment w:val="auto"/>
              <w:rPr>
                <w:rFonts w:hint="default" w:ascii="宋体" w:hAnsi="宋体" w:eastAsia="方正仿宋_GBK" w:cs="方正仿宋_GBK"/>
                <w:color w:val="000000"/>
                <w:kern w:val="0"/>
                <w:sz w:val="24"/>
                <w:szCs w:val="24"/>
                <w:lang w:val="en-US" w:eastAsia="zh-CN"/>
              </w:rPr>
            </w:pPr>
            <w:r>
              <w:rPr>
                <w:rFonts w:hint="eastAsia" w:ascii="宋体" w:hAnsi="宋体" w:eastAsia="方正仿宋_GBK" w:cs="方正仿宋_GBK"/>
                <w:color w:val="000000"/>
                <w:kern w:val="0"/>
                <w:sz w:val="24"/>
                <w:szCs w:val="24"/>
                <w:lang w:val="en-US" w:eastAsia="zh-CN"/>
              </w:rPr>
              <w:t>208.8</w:t>
            </w:r>
          </w:p>
        </w:tc>
        <w:tc>
          <w:tcPr>
            <w:tcW w:w="1434" w:type="dxa"/>
            <w:gridSpan w:val="3"/>
            <w:tcBorders>
              <w:tl2br w:val="nil"/>
              <w:tr2bl w:val="nil"/>
            </w:tcBorders>
            <w:noWrap w:val="0"/>
            <w:vAlign w:val="center"/>
          </w:tcPr>
          <w:p w14:paraId="7C783EE9">
            <w:pPr>
              <w:keepNext w:val="0"/>
              <w:keepLines w:val="0"/>
              <w:pageBreakBefore w:val="0"/>
              <w:widowControl/>
              <w:kinsoku/>
              <w:wordWrap/>
              <w:overflowPunct/>
              <w:topLinePunct w:val="0"/>
              <w:autoSpaceDN/>
              <w:bidi w:val="0"/>
              <w:snapToGrid/>
              <w:spacing w:line="579" w:lineRule="exact"/>
              <w:jc w:val="center"/>
              <w:textAlignment w:val="auto"/>
              <w:rPr>
                <w:rFonts w:hint="default" w:ascii="宋体" w:hAnsi="宋体" w:eastAsia="方正仿宋_GBK" w:cs="方正仿宋_GBK"/>
                <w:color w:val="000000"/>
                <w:kern w:val="0"/>
                <w:sz w:val="24"/>
                <w:szCs w:val="24"/>
                <w:lang w:val="en-US" w:eastAsia="zh-CN"/>
              </w:rPr>
            </w:pPr>
            <w:r>
              <w:rPr>
                <w:rFonts w:hint="eastAsia" w:ascii="宋体" w:hAnsi="宋体" w:eastAsia="方正仿宋_GBK" w:cs="方正仿宋_GBK"/>
                <w:color w:val="000000"/>
                <w:kern w:val="0"/>
                <w:sz w:val="24"/>
                <w:szCs w:val="24"/>
                <w:lang w:val="en-US" w:eastAsia="zh-CN"/>
              </w:rPr>
              <w:t>178.6</w:t>
            </w:r>
          </w:p>
        </w:tc>
        <w:tc>
          <w:tcPr>
            <w:tcW w:w="2151" w:type="dxa"/>
            <w:gridSpan w:val="3"/>
            <w:tcBorders>
              <w:tl2br w:val="nil"/>
              <w:tr2bl w:val="nil"/>
            </w:tcBorders>
            <w:noWrap w:val="0"/>
            <w:vAlign w:val="center"/>
          </w:tcPr>
          <w:p w14:paraId="5FA1067D">
            <w:pPr>
              <w:keepNext w:val="0"/>
              <w:keepLines w:val="0"/>
              <w:pageBreakBefore w:val="0"/>
              <w:widowControl/>
              <w:kinsoku/>
              <w:wordWrap/>
              <w:overflowPunct/>
              <w:topLinePunct w:val="0"/>
              <w:autoSpaceDN/>
              <w:bidi w:val="0"/>
              <w:snapToGrid/>
              <w:spacing w:line="579" w:lineRule="exact"/>
              <w:jc w:val="center"/>
              <w:textAlignment w:val="auto"/>
              <w:rPr>
                <w:rFonts w:hint="default" w:ascii="宋体" w:hAnsi="宋体" w:eastAsia="方正仿宋_GBK" w:cs="方正仿宋_GBK"/>
                <w:color w:val="000000"/>
                <w:kern w:val="0"/>
                <w:sz w:val="24"/>
                <w:szCs w:val="24"/>
                <w:lang w:val="en-US" w:eastAsia="zh-CN"/>
              </w:rPr>
            </w:pPr>
            <w:r>
              <w:rPr>
                <w:rFonts w:hint="eastAsia" w:ascii="宋体" w:hAnsi="宋体" w:eastAsia="方正仿宋_GBK" w:cs="方正仿宋_GBK"/>
                <w:color w:val="000000"/>
                <w:kern w:val="0"/>
                <w:sz w:val="24"/>
                <w:szCs w:val="24"/>
                <w:lang w:val="en-US" w:eastAsia="zh-CN"/>
              </w:rPr>
              <w:t>178.6</w:t>
            </w:r>
          </w:p>
        </w:tc>
        <w:tc>
          <w:tcPr>
            <w:tcW w:w="968" w:type="dxa"/>
            <w:tcBorders>
              <w:tl2br w:val="nil"/>
              <w:tr2bl w:val="nil"/>
            </w:tcBorders>
            <w:noWrap w:val="0"/>
            <w:vAlign w:val="center"/>
          </w:tcPr>
          <w:p w14:paraId="616A8E28">
            <w:pPr>
              <w:keepNext w:val="0"/>
              <w:keepLines w:val="0"/>
              <w:pageBreakBefore w:val="0"/>
              <w:widowControl/>
              <w:kinsoku/>
              <w:wordWrap/>
              <w:overflowPunct/>
              <w:topLinePunct w:val="0"/>
              <w:autoSpaceDN/>
              <w:bidi w:val="0"/>
              <w:snapToGrid/>
              <w:spacing w:line="579" w:lineRule="exact"/>
              <w:jc w:val="center"/>
              <w:textAlignment w:val="auto"/>
              <w:rPr>
                <w:rFonts w:hint="eastAsia" w:ascii="宋体" w:hAnsi="宋体" w:eastAsia="方正仿宋_GBK" w:cs="方正仿宋_GBK"/>
                <w:color w:val="000000"/>
                <w:kern w:val="0"/>
                <w:sz w:val="24"/>
                <w:szCs w:val="24"/>
              </w:rPr>
            </w:pPr>
          </w:p>
        </w:tc>
        <w:tc>
          <w:tcPr>
            <w:tcW w:w="888" w:type="dxa"/>
            <w:tcBorders>
              <w:tl2br w:val="nil"/>
              <w:tr2bl w:val="nil"/>
            </w:tcBorders>
            <w:noWrap w:val="0"/>
            <w:vAlign w:val="center"/>
          </w:tcPr>
          <w:p w14:paraId="0153C476">
            <w:pPr>
              <w:keepNext w:val="0"/>
              <w:keepLines w:val="0"/>
              <w:pageBreakBefore w:val="0"/>
              <w:widowControl/>
              <w:kinsoku/>
              <w:wordWrap/>
              <w:overflowPunct/>
              <w:topLinePunct w:val="0"/>
              <w:autoSpaceDN/>
              <w:bidi w:val="0"/>
              <w:snapToGrid/>
              <w:spacing w:line="579" w:lineRule="exact"/>
              <w:jc w:val="center"/>
              <w:textAlignment w:val="auto"/>
              <w:rPr>
                <w:rFonts w:hint="eastAsia" w:ascii="宋体" w:hAnsi="宋体" w:eastAsia="方正仿宋_GBK" w:cs="方正仿宋_GBK"/>
                <w:kern w:val="0"/>
                <w:sz w:val="24"/>
                <w:szCs w:val="24"/>
              </w:rPr>
            </w:pPr>
          </w:p>
        </w:tc>
        <w:tc>
          <w:tcPr>
            <w:tcW w:w="1098" w:type="dxa"/>
            <w:gridSpan w:val="2"/>
            <w:tcBorders>
              <w:tl2br w:val="nil"/>
              <w:tr2bl w:val="nil"/>
            </w:tcBorders>
            <w:noWrap w:val="0"/>
            <w:vAlign w:val="center"/>
          </w:tcPr>
          <w:p w14:paraId="3BB462C2">
            <w:pPr>
              <w:keepNext w:val="0"/>
              <w:keepLines w:val="0"/>
              <w:pageBreakBefore w:val="0"/>
              <w:widowControl/>
              <w:kinsoku/>
              <w:wordWrap/>
              <w:overflowPunct/>
              <w:topLinePunct w:val="0"/>
              <w:autoSpaceDN/>
              <w:bidi w:val="0"/>
              <w:snapToGrid/>
              <w:spacing w:line="579" w:lineRule="exact"/>
              <w:jc w:val="center"/>
              <w:textAlignment w:val="auto"/>
              <w:rPr>
                <w:rFonts w:hint="eastAsia" w:ascii="宋体" w:hAnsi="宋体" w:eastAsia="方正仿宋_GBK" w:cs="方正仿宋_GBK"/>
                <w:color w:val="000000"/>
                <w:kern w:val="0"/>
                <w:sz w:val="24"/>
                <w:szCs w:val="24"/>
              </w:rPr>
            </w:pPr>
          </w:p>
        </w:tc>
      </w:tr>
      <w:tr w14:paraId="682D61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847" w:type="dxa"/>
            <w:vMerge w:val="continue"/>
            <w:tcBorders>
              <w:tl2br w:val="nil"/>
              <w:tr2bl w:val="nil"/>
            </w:tcBorders>
            <w:noWrap w:val="0"/>
            <w:vAlign w:val="center"/>
          </w:tcPr>
          <w:p w14:paraId="70A77CDF">
            <w:pPr>
              <w:keepNext w:val="0"/>
              <w:keepLines w:val="0"/>
              <w:pageBreakBefore w:val="0"/>
              <w:widowControl/>
              <w:kinsoku/>
              <w:wordWrap/>
              <w:overflowPunct/>
              <w:topLinePunct w:val="0"/>
              <w:autoSpaceDN/>
              <w:bidi w:val="0"/>
              <w:snapToGrid/>
              <w:spacing w:line="579" w:lineRule="exact"/>
              <w:textAlignment w:val="auto"/>
              <w:rPr>
                <w:rFonts w:hint="eastAsia" w:ascii="宋体" w:hAnsi="宋体" w:eastAsia="方正仿宋_GBK" w:cs="方正仿宋_GBK"/>
                <w:color w:val="000000"/>
                <w:kern w:val="0"/>
                <w:sz w:val="24"/>
                <w:szCs w:val="24"/>
              </w:rPr>
            </w:pPr>
          </w:p>
        </w:tc>
        <w:tc>
          <w:tcPr>
            <w:tcW w:w="1892" w:type="dxa"/>
            <w:gridSpan w:val="2"/>
            <w:tcBorders>
              <w:tl2br w:val="nil"/>
              <w:tr2bl w:val="nil"/>
            </w:tcBorders>
            <w:noWrap w:val="0"/>
            <w:vAlign w:val="center"/>
          </w:tcPr>
          <w:p w14:paraId="2FB214A9">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其中：</w:t>
            </w:r>
          </w:p>
          <w:p w14:paraId="4267F047">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宋体" w:hAnsi="宋体" w:eastAsia="方正仿宋_GBK" w:cs="方正仿宋_GBK"/>
                <w:color w:val="000000"/>
                <w:kern w:val="0"/>
                <w:sz w:val="24"/>
                <w:szCs w:val="24"/>
                <w:lang w:val="en-US" w:eastAsia="zh-CN"/>
              </w:rPr>
            </w:pPr>
            <w:r>
              <w:rPr>
                <w:rFonts w:hint="eastAsia" w:ascii="宋体" w:hAnsi="宋体" w:eastAsia="方正仿宋_GBK" w:cs="方正仿宋_GBK"/>
                <w:color w:val="000000"/>
                <w:kern w:val="0"/>
                <w:sz w:val="24"/>
                <w:szCs w:val="24"/>
                <w:lang w:val="en-US" w:eastAsia="zh-CN"/>
              </w:rPr>
              <w:t>财政拨款</w:t>
            </w:r>
          </w:p>
        </w:tc>
        <w:tc>
          <w:tcPr>
            <w:tcW w:w="854" w:type="dxa"/>
            <w:tcBorders>
              <w:tl2br w:val="nil"/>
              <w:tr2bl w:val="nil"/>
            </w:tcBorders>
            <w:noWrap w:val="0"/>
            <w:vAlign w:val="center"/>
          </w:tcPr>
          <w:p w14:paraId="43752E5D">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宋体" w:hAnsi="宋体" w:eastAsia="方正仿宋_GBK" w:cs="方正仿宋_GBK"/>
                <w:color w:val="000000"/>
                <w:kern w:val="0"/>
                <w:sz w:val="24"/>
                <w:szCs w:val="24"/>
                <w:lang w:val="en-US" w:eastAsia="zh-CN"/>
              </w:rPr>
            </w:pPr>
            <w:r>
              <w:rPr>
                <w:rFonts w:hint="eastAsia" w:ascii="宋体" w:hAnsi="宋体" w:eastAsia="方正仿宋_GBK" w:cs="方正仿宋_GBK"/>
                <w:color w:val="000000"/>
                <w:kern w:val="0"/>
                <w:sz w:val="24"/>
                <w:szCs w:val="24"/>
                <w:lang w:val="en-US" w:eastAsia="zh-CN"/>
              </w:rPr>
              <w:t>208.8</w:t>
            </w:r>
          </w:p>
        </w:tc>
        <w:tc>
          <w:tcPr>
            <w:tcW w:w="1434" w:type="dxa"/>
            <w:gridSpan w:val="3"/>
            <w:tcBorders>
              <w:tl2br w:val="nil"/>
              <w:tr2bl w:val="nil"/>
            </w:tcBorders>
            <w:noWrap w:val="0"/>
            <w:vAlign w:val="center"/>
          </w:tcPr>
          <w:p w14:paraId="3AFAB540">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宋体" w:hAnsi="宋体" w:eastAsia="方正仿宋_GBK" w:cs="方正仿宋_GBK"/>
                <w:color w:val="000000"/>
                <w:kern w:val="0"/>
                <w:sz w:val="24"/>
                <w:szCs w:val="24"/>
                <w:lang w:val="en-US" w:eastAsia="zh-CN"/>
              </w:rPr>
            </w:pPr>
            <w:r>
              <w:rPr>
                <w:rFonts w:hint="eastAsia" w:ascii="宋体" w:hAnsi="宋体" w:eastAsia="方正仿宋_GBK" w:cs="方正仿宋_GBK"/>
                <w:color w:val="000000"/>
                <w:kern w:val="0"/>
                <w:sz w:val="24"/>
                <w:szCs w:val="24"/>
                <w:lang w:val="en-US" w:eastAsia="zh-CN"/>
              </w:rPr>
              <w:t>178.6</w:t>
            </w:r>
          </w:p>
        </w:tc>
        <w:tc>
          <w:tcPr>
            <w:tcW w:w="2151" w:type="dxa"/>
            <w:gridSpan w:val="3"/>
            <w:tcBorders>
              <w:tl2br w:val="nil"/>
              <w:tr2bl w:val="nil"/>
            </w:tcBorders>
            <w:noWrap w:val="0"/>
            <w:vAlign w:val="center"/>
          </w:tcPr>
          <w:p w14:paraId="050B89B7">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宋体" w:hAnsi="宋体" w:eastAsia="方正仿宋_GBK" w:cs="方正仿宋_GBK"/>
                <w:color w:val="000000"/>
                <w:kern w:val="0"/>
                <w:sz w:val="24"/>
                <w:szCs w:val="24"/>
                <w:lang w:val="en-US" w:eastAsia="zh-CN"/>
              </w:rPr>
            </w:pPr>
            <w:r>
              <w:rPr>
                <w:rFonts w:hint="eastAsia" w:ascii="宋体" w:hAnsi="宋体" w:eastAsia="方正仿宋_GBK" w:cs="方正仿宋_GBK"/>
                <w:color w:val="000000"/>
                <w:kern w:val="0"/>
                <w:sz w:val="24"/>
                <w:szCs w:val="24"/>
                <w:lang w:val="en-US" w:eastAsia="zh-CN"/>
              </w:rPr>
              <w:t>178.6</w:t>
            </w:r>
          </w:p>
        </w:tc>
        <w:tc>
          <w:tcPr>
            <w:tcW w:w="968" w:type="dxa"/>
            <w:tcBorders>
              <w:tl2br w:val="nil"/>
              <w:tr2bl w:val="nil"/>
            </w:tcBorders>
            <w:noWrap w:val="0"/>
            <w:vAlign w:val="center"/>
          </w:tcPr>
          <w:p w14:paraId="3E1CC8DA">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宋体" w:hAnsi="宋体" w:eastAsia="方正仿宋_GBK" w:cs="方正仿宋_GBK"/>
                <w:color w:val="000000"/>
                <w:kern w:val="0"/>
                <w:sz w:val="24"/>
                <w:szCs w:val="24"/>
                <w:lang w:val="en-US" w:eastAsia="zh-CN"/>
              </w:rPr>
            </w:pPr>
            <w:r>
              <w:rPr>
                <w:rFonts w:hint="eastAsia" w:ascii="宋体" w:hAnsi="宋体" w:eastAsia="方正仿宋_GBK" w:cs="方正仿宋_GBK"/>
                <w:color w:val="000000"/>
                <w:kern w:val="0"/>
                <w:sz w:val="24"/>
                <w:szCs w:val="24"/>
                <w:lang w:val="en-US" w:eastAsia="zh-CN"/>
              </w:rPr>
              <w:t>100</w:t>
            </w:r>
          </w:p>
        </w:tc>
        <w:tc>
          <w:tcPr>
            <w:tcW w:w="888" w:type="dxa"/>
            <w:tcBorders>
              <w:tl2br w:val="nil"/>
              <w:tr2bl w:val="nil"/>
            </w:tcBorders>
            <w:noWrap w:val="0"/>
            <w:vAlign w:val="center"/>
          </w:tcPr>
          <w:p w14:paraId="0C3E5691">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宋体" w:hAnsi="宋体" w:eastAsia="方正仿宋_GBK" w:cs="方正仿宋_GBK"/>
                <w:color w:val="000000"/>
                <w:kern w:val="0"/>
                <w:sz w:val="24"/>
                <w:szCs w:val="24"/>
                <w:lang w:val="en-US" w:eastAsia="zh-CN"/>
              </w:rPr>
            </w:pPr>
            <w:r>
              <w:rPr>
                <w:rFonts w:hint="eastAsia" w:ascii="宋体" w:hAnsi="宋体" w:eastAsia="方正仿宋_GBK" w:cs="方正仿宋_GBK"/>
                <w:color w:val="000000"/>
                <w:kern w:val="0"/>
                <w:sz w:val="24"/>
                <w:szCs w:val="24"/>
                <w:lang w:val="en-US" w:eastAsia="zh-CN"/>
              </w:rPr>
              <w:t>10</w:t>
            </w:r>
          </w:p>
        </w:tc>
        <w:tc>
          <w:tcPr>
            <w:tcW w:w="1098" w:type="dxa"/>
            <w:gridSpan w:val="2"/>
            <w:tcBorders>
              <w:tl2br w:val="nil"/>
              <w:tr2bl w:val="nil"/>
            </w:tcBorders>
            <w:noWrap w:val="0"/>
            <w:vAlign w:val="center"/>
          </w:tcPr>
          <w:p w14:paraId="62DEC247">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宋体" w:hAnsi="宋体" w:eastAsia="方正仿宋_GBK" w:cs="方正仿宋_GBK"/>
                <w:color w:val="000000"/>
                <w:kern w:val="0"/>
                <w:sz w:val="24"/>
                <w:szCs w:val="24"/>
                <w:lang w:val="en-US" w:eastAsia="zh-CN"/>
              </w:rPr>
            </w:pPr>
            <w:r>
              <w:rPr>
                <w:rFonts w:hint="eastAsia" w:ascii="宋体" w:hAnsi="宋体" w:eastAsia="方正仿宋_GBK" w:cs="方正仿宋_GBK"/>
                <w:color w:val="000000"/>
                <w:kern w:val="0"/>
                <w:sz w:val="24"/>
                <w:szCs w:val="24"/>
                <w:lang w:val="en-US" w:eastAsia="zh-CN"/>
              </w:rPr>
              <w:t>10</w:t>
            </w:r>
          </w:p>
        </w:tc>
      </w:tr>
      <w:tr w14:paraId="2B16E2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847" w:type="dxa"/>
            <w:vMerge w:val="restart"/>
            <w:tcBorders>
              <w:tl2br w:val="nil"/>
              <w:tr2bl w:val="nil"/>
            </w:tcBorders>
            <w:noWrap w:val="0"/>
            <w:vAlign w:val="center"/>
          </w:tcPr>
          <w:p w14:paraId="5AE97106">
            <w:pPr>
              <w:keepNext w:val="0"/>
              <w:keepLines w:val="0"/>
              <w:pageBreakBefore w:val="0"/>
              <w:widowControl/>
              <w:kinsoku/>
              <w:wordWrap/>
              <w:overflowPunct/>
              <w:topLinePunct w:val="0"/>
              <w:autoSpaceDN/>
              <w:bidi w:val="0"/>
              <w:snapToGrid/>
              <w:spacing w:line="579" w:lineRule="exact"/>
              <w:textAlignment w:val="auto"/>
              <w:rPr>
                <w:rFonts w:hint="eastAsia"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当年绩效目</w:t>
            </w:r>
            <w:r>
              <w:rPr>
                <w:rFonts w:hint="eastAsia" w:ascii="宋体" w:hAnsi="宋体" w:eastAsia="方正仿宋_GBK" w:cs="方正仿宋_GBK"/>
                <w:color w:val="000000"/>
                <w:kern w:val="0"/>
                <w:sz w:val="24"/>
                <w:szCs w:val="24"/>
                <w:lang w:val="en-US" w:eastAsia="zh-CN"/>
              </w:rPr>
              <w:t xml:space="preserve"> </w:t>
            </w:r>
            <w:r>
              <w:rPr>
                <w:rFonts w:hint="eastAsia" w:ascii="宋体" w:hAnsi="宋体" w:eastAsia="方正仿宋_GBK" w:cs="方正仿宋_GBK"/>
                <w:color w:val="000000"/>
                <w:kern w:val="0"/>
                <w:sz w:val="24"/>
                <w:szCs w:val="24"/>
              </w:rPr>
              <w:t>标</w:t>
            </w:r>
          </w:p>
        </w:tc>
        <w:tc>
          <w:tcPr>
            <w:tcW w:w="3656" w:type="dxa"/>
            <w:gridSpan w:val="5"/>
            <w:tcBorders>
              <w:tl2br w:val="nil"/>
              <w:tr2bl w:val="nil"/>
            </w:tcBorders>
            <w:noWrap w:val="0"/>
            <w:vAlign w:val="center"/>
          </w:tcPr>
          <w:p w14:paraId="0353043B">
            <w:pPr>
              <w:keepNext w:val="0"/>
              <w:keepLines w:val="0"/>
              <w:pageBreakBefore w:val="0"/>
              <w:widowControl/>
              <w:kinsoku/>
              <w:wordWrap/>
              <w:overflowPunct/>
              <w:topLinePunct w:val="0"/>
              <w:autoSpaceDN/>
              <w:bidi w:val="0"/>
              <w:snapToGrid/>
              <w:spacing w:line="579" w:lineRule="exact"/>
              <w:jc w:val="center"/>
              <w:textAlignment w:val="auto"/>
              <w:rPr>
                <w:rFonts w:hint="eastAsia"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年初绩效目标</w:t>
            </w:r>
          </w:p>
        </w:tc>
        <w:tc>
          <w:tcPr>
            <w:tcW w:w="2675" w:type="dxa"/>
            <w:gridSpan w:val="4"/>
            <w:tcBorders>
              <w:tl2br w:val="nil"/>
              <w:tr2bl w:val="nil"/>
            </w:tcBorders>
            <w:noWrap w:val="0"/>
            <w:vAlign w:val="center"/>
          </w:tcPr>
          <w:p w14:paraId="1F9D59D3">
            <w:pPr>
              <w:keepNext w:val="0"/>
              <w:keepLines w:val="0"/>
              <w:pageBreakBefore w:val="0"/>
              <w:widowControl/>
              <w:kinsoku/>
              <w:wordWrap/>
              <w:overflowPunct/>
              <w:topLinePunct w:val="0"/>
              <w:autoSpaceDN/>
              <w:bidi w:val="0"/>
              <w:snapToGrid/>
              <w:spacing w:line="579" w:lineRule="exact"/>
              <w:jc w:val="center"/>
              <w:textAlignment w:val="auto"/>
              <w:rPr>
                <w:rFonts w:hint="eastAsia"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全年（调整）绩效目标</w:t>
            </w:r>
          </w:p>
        </w:tc>
        <w:tc>
          <w:tcPr>
            <w:tcW w:w="2954" w:type="dxa"/>
            <w:gridSpan w:val="4"/>
            <w:tcBorders>
              <w:tl2br w:val="nil"/>
              <w:tr2bl w:val="nil"/>
            </w:tcBorders>
            <w:noWrap w:val="0"/>
            <w:vAlign w:val="center"/>
          </w:tcPr>
          <w:p w14:paraId="2ABF94AD">
            <w:pPr>
              <w:keepNext w:val="0"/>
              <w:keepLines w:val="0"/>
              <w:pageBreakBefore w:val="0"/>
              <w:widowControl/>
              <w:kinsoku/>
              <w:wordWrap/>
              <w:overflowPunct/>
              <w:topLinePunct w:val="0"/>
              <w:autoSpaceDN/>
              <w:bidi w:val="0"/>
              <w:snapToGrid/>
              <w:spacing w:line="579" w:lineRule="exact"/>
              <w:jc w:val="center"/>
              <w:textAlignment w:val="auto"/>
              <w:rPr>
                <w:rFonts w:hint="eastAsia"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全年目标实际完成情况</w:t>
            </w:r>
          </w:p>
        </w:tc>
      </w:tr>
      <w:tr w14:paraId="2BB14D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5" w:hRule="atLeast"/>
          <w:jc w:val="center"/>
        </w:trPr>
        <w:tc>
          <w:tcPr>
            <w:tcW w:w="847" w:type="dxa"/>
            <w:vMerge w:val="continue"/>
            <w:tcBorders>
              <w:tl2br w:val="nil"/>
              <w:tr2bl w:val="nil"/>
            </w:tcBorders>
            <w:noWrap w:val="0"/>
            <w:vAlign w:val="center"/>
          </w:tcPr>
          <w:p w14:paraId="6DEBC5BB">
            <w:pPr>
              <w:keepNext w:val="0"/>
              <w:keepLines w:val="0"/>
              <w:pageBreakBefore w:val="0"/>
              <w:widowControl/>
              <w:kinsoku/>
              <w:wordWrap/>
              <w:overflowPunct/>
              <w:topLinePunct w:val="0"/>
              <w:autoSpaceDN/>
              <w:bidi w:val="0"/>
              <w:snapToGrid/>
              <w:spacing w:line="579" w:lineRule="exact"/>
              <w:textAlignment w:val="auto"/>
              <w:rPr>
                <w:rFonts w:hint="eastAsia" w:ascii="宋体" w:hAnsi="宋体" w:eastAsia="方正仿宋_GBK" w:cs="方正仿宋_GBK"/>
                <w:color w:val="000000"/>
                <w:kern w:val="0"/>
                <w:sz w:val="24"/>
                <w:szCs w:val="24"/>
              </w:rPr>
            </w:pPr>
          </w:p>
        </w:tc>
        <w:tc>
          <w:tcPr>
            <w:tcW w:w="3656" w:type="dxa"/>
            <w:gridSpan w:val="5"/>
            <w:tcBorders>
              <w:tl2br w:val="nil"/>
              <w:tr2bl w:val="nil"/>
            </w:tcBorders>
            <w:noWrap w:val="0"/>
            <w:vAlign w:val="center"/>
          </w:tcPr>
          <w:p w14:paraId="083C5E2D">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宋体" w:hAnsi="宋体" w:eastAsia="方正仿宋_GBK" w:cs="方正仿宋_GBK"/>
                <w:color w:val="000000"/>
                <w:kern w:val="0"/>
                <w:sz w:val="21"/>
                <w:szCs w:val="21"/>
              </w:rPr>
            </w:pPr>
            <w:r>
              <w:rPr>
                <w:rFonts w:hint="eastAsia" w:ascii="宋体" w:hAnsi="宋体" w:eastAsia="方正仿宋_GBK" w:cs="方正仿宋_GBK"/>
                <w:color w:val="000000"/>
                <w:kern w:val="0"/>
                <w:sz w:val="21"/>
                <w:szCs w:val="21"/>
              </w:rPr>
              <w:t>规范政府网站建设与管理，推进我区政府网站健康有序发展，同时持续加强内容保障、优化效果呈现。通过继续维护区电子政务中心机房，确保江津区电子政务中心机房正常稳定运行。</w:t>
            </w:r>
          </w:p>
        </w:tc>
        <w:tc>
          <w:tcPr>
            <w:tcW w:w="2675" w:type="dxa"/>
            <w:gridSpan w:val="4"/>
            <w:tcBorders>
              <w:tl2br w:val="nil"/>
              <w:tr2bl w:val="nil"/>
            </w:tcBorders>
            <w:noWrap w:val="0"/>
            <w:vAlign w:val="center"/>
          </w:tcPr>
          <w:p w14:paraId="256415EF">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宋体" w:hAnsi="宋体" w:eastAsia="方正仿宋_GBK" w:cs="方正仿宋_GBK"/>
                <w:color w:val="000000"/>
                <w:kern w:val="0"/>
                <w:sz w:val="21"/>
                <w:szCs w:val="21"/>
              </w:rPr>
            </w:pPr>
          </w:p>
        </w:tc>
        <w:tc>
          <w:tcPr>
            <w:tcW w:w="2954" w:type="dxa"/>
            <w:gridSpan w:val="4"/>
            <w:tcBorders>
              <w:tl2br w:val="nil"/>
              <w:tr2bl w:val="nil"/>
            </w:tcBorders>
            <w:noWrap w:val="0"/>
            <w:vAlign w:val="center"/>
          </w:tcPr>
          <w:p w14:paraId="1598E8BA">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宋体" w:hAnsi="宋体" w:eastAsia="方正仿宋_GBK" w:cs="方正仿宋_GBK"/>
                <w:color w:val="000000"/>
                <w:kern w:val="0"/>
                <w:sz w:val="21"/>
                <w:szCs w:val="21"/>
              </w:rPr>
            </w:pPr>
            <w:r>
              <w:rPr>
                <w:rFonts w:hint="eastAsia" w:ascii="宋体" w:hAnsi="宋体" w:eastAsia="方正仿宋_GBK" w:cs="方正仿宋_GBK"/>
                <w:color w:val="000000"/>
                <w:kern w:val="0"/>
                <w:sz w:val="21"/>
                <w:szCs w:val="21"/>
              </w:rPr>
              <w:t>电子政务中心机房全年正常运行。履行好政府网站监督考核责任，确保政府网站和政务新媒体健康有序运行，并在国家、重庆市政务公开第三方评估中取得优异成绩。</w:t>
            </w:r>
          </w:p>
        </w:tc>
      </w:tr>
      <w:tr w14:paraId="3D70CA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847" w:type="dxa"/>
            <w:vMerge w:val="restart"/>
            <w:tcBorders>
              <w:tl2br w:val="nil"/>
              <w:tr2bl w:val="nil"/>
            </w:tcBorders>
            <w:noWrap w:val="0"/>
            <w:vAlign w:val="center"/>
          </w:tcPr>
          <w:p w14:paraId="5370A19B">
            <w:pPr>
              <w:keepNext w:val="0"/>
              <w:keepLines w:val="0"/>
              <w:pageBreakBefore w:val="0"/>
              <w:widowControl/>
              <w:kinsoku/>
              <w:wordWrap/>
              <w:overflowPunct/>
              <w:topLinePunct w:val="0"/>
              <w:autoSpaceDN/>
              <w:bidi w:val="0"/>
              <w:snapToGrid/>
              <w:spacing w:line="579" w:lineRule="exact"/>
              <w:jc w:val="center"/>
              <w:textAlignment w:val="auto"/>
              <w:rPr>
                <w:rFonts w:hint="eastAsia" w:ascii="宋体" w:hAnsi="宋体" w:eastAsia="方正仿宋_GBK" w:cs="方正仿宋_GBK"/>
                <w:color w:val="000000"/>
                <w:kern w:val="0"/>
                <w:sz w:val="24"/>
                <w:szCs w:val="24"/>
                <w:lang w:val="en-US" w:eastAsia="zh-CN"/>
              </w:rPr>
            </w:pPr>
            <w:r>
              <w:rPr>
                <w:rFonts w:hint="eastAsia" w:ascii="宋体" w:hAnsi="宋体" w:eastAsia="方正仿宋_GBK" w:cs="方正仿宋_GBK"/>
                <w:color w:val="000000"/>
                <w:kern w:val="0"/>
                <w:sz w:val="24"/>
                <w:szCs w:val="24"/>
              </w:rPr>
              <w:t>绩</w:t>
            </w:r>
            <w:r>
              <w:rPr>
                <w:rFonts w:hint="eastAsia" w:ascii="宋体" w:hAnsi="宋体" w:eastAsia="方正仿宋_GBK" w:cs="方正仿宋_GBK"/>
                <w:color w:val="000000"/>
                <w:kern w:val="0"/>
                <w:sz w:val="24"/>
                <w:szCs w:val="24"/>
                <w:lang w:val="en-US" w:eastAsia="zh-CN"/>
              </w:rPr>
              <w:t xml:space="preserve"> </w:t>
            </w:r>
            <w:r>
              <w:rPr>
                <w:rFonts w:hint="eastAsia" w:ascii="宋体" w:hAnsi="宋体" w:eastAsia="方正仿宋_GBK" w:cs="方正仿宋_GBK"/>
                <w:color w:val="000000"/>
                <w:kern w:val="0"/>
                <w:sz w:val="24"/>
                <w:szCs w:val="24"/>
              </w:rPr>
              <w:t>效指 标</w:t>
            </w:r>
          </w:p>
        </w:tc>
        <w:tc>
          <w:tcPr>
            <w:tcW w:w="1118" w:type="dxa"/>
            <w:tcBorders>
              <w:tl2br w:val="nil"/>
              <w:tr2bl w:val="nil"/>
            </w:tcBorders>
            <w:noWrap w:val="0"/>
            <w:vAlign w:val="center"/>
          </w:tcPr>
          <w:p w14:paraId="2D4B4D9A">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指标</w:t>
            </w:r>
          </w:p>
          <w:p w14:paraId="6B4CBEBB">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名称</w:t>
            </w:r>
          </w:p>
        </w:tc>
        <w:tc>
          <w:tcPr>
            <w:tcW w:w="774" w:type="dxa"/>
            <w:tcBorders>
              <w:tl2br w:val="nil"/>
              <w:tr2bl w:val="nil"/>
            </w:tcBorders>
            <w:noWrap w:val="0"/>
            <w:vAlign w:val="center"/>
          </w:tcPr>
          <w:p w14:paraId="5C2BDD09">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计量</w:t>
            </w:r>
          </w:p>
          <w:p w14:paraId="1850A832">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单位</w:t>
            </w:r>
          </w:p>
        </w:tc>
        <w:tc>
          <w:tcPr>
            <w:tcW w:w="1013" w:type="dxa"/>
            <w:gridSpan w:val="2"/>
            <w:tcBorders>
              <w:tl2br w:val="nil"/>
              <w:tr2bl w:val="nil"/>
            </w:tcBorders>
            <w:noWrap w:val="0"/>
            <w:vAlign w:val="center"/>
          </w:tcPr>
          <w:p w14:paraId="4386E041">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指标</w:t>
            </w:r>
          </w:p>
          <w:p w14:paraId="770B18A8">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性质</w:t>
            </w:r>
          </w:p>
        </w:tc>
        <w:tc>
          <w:tcPr>
            <w:tcW w:w="751" w:type="dxa"/>
            <w:tcBorders>
              <w:tl2br w:val="nil"/>
              <w:tr2bl w:val="nil"/>
            </w:tcBorders>
            <w:noWrap w:val="0"/>
            <w:vAlign w:val="center"/>
          </w:tcPr>
          <w:p w14:paraId="26097249">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指标</w:t>
            </w:r>
          </w:p>
          <w:p w14:paraId="2D8CD5DB">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值</w:t>
            </w:r>
          </w:p>
        </w:tc>
        <w:tc>
          <w:tcPr>
            <w:tcW w:w="877" w:type="dxa"/>
            <w:gridSpan w:val="2"/>
            <w:tcBorders>
              <w:tl2br w:val="nil"/>
              <w:tr2bl w:val="nil"/>
            </w:tcBorders>
            <w:noWrap w:val="0"/>
            <w:vAlign w:val="center"/>
          </w:tcPr>
          <w:p w14:paraId="09BFC55F">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全年</w:t>
            </w:r>
          </w:p>
          <w:p w14:paraId="10370714">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完成值</w:t>
            </w:r>
          </w:p>
        </w:tc>
        <w:tc>
          <w:tcPr>
            <w:tcW w:w="910" w:type="dxa"/>
            <w:tcBorders>
              <w:tl2br w:val="nil"/>
              <w:tr2bl w:val="nil"/>
            </w:tcBorders>
            <w:noWrap w:val="0"/>
            <w:vAlign w:val="center"/>
          </w:tcPr>
          <w:p w14:paraId="0D7B740D">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方正仿宋_GBK" w:cs="方正仿宋_GBK"/>
                <w:color w:val="000000"/>
                <w:kern w:val="0"/>
                <w:sz w:val="24"/>
                <w:szCs w:val="24"/>
                <w:lang w:val="en-US" w:eastAsia="zh-CN"/>
              </w:rPr>
            </w:pPr>
            <w:r>
              <w:rPr>
                <w:rFonts w:hint="eastAsia" w:ascii="宋体" w:hAnsi="宋体" w:eastAsia="方正仿宋_GBK" w:cs="方正仿宋_GBK"/>
                <w:color w:val="000000"/>
                <w:kern w:val="0"/>
                <w:sz w:val="24"/>
                <w:szCs w:val="24"/>
                <w:lang w:val="en-US" w:eastAsia="zh-CN"/>
              </w:rPr>
              <w:t>偏离度（%）</w:t>
            </w:r>
          </w:p>
        </w:tc>
        <w:tc>
          <w:tcPr>
            <w:tcW w:w="888" w:type="dxa"/>
            <w:tcBorders>
              <w:tl2br w:val="nil"/>
              <w:tr2bl w:val="nil"/>
            </w:tcBorders>
            <w:noWrap w:val="0"/>
            <w:vAlign w:val="center"/>
          </w:tcPr>
          <w:p w14:paraId="29812745">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得分</w:t>
            </w:r>
          </w:p>
          <w:p w14:paraId="0F9EDCA8">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系数</w:t>
            </w:r>
          </w:p>
          <w:p w14:paraId="5BD6D0FB">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w:t>
            </w:r>
          </w:p>
        </w:tc>
        <w:tc>
          <w:tcPr>
            <w:tcW w:w="968" w:type="dxa"/>
            <w:tcBorders>
              <w:tl2br w:val="nil"/>
              <w:tr2bl w:val="nil"/>
            </w:tcBorders>
            <w:noWrap w:val="0"/>
            <w:vAlign w:val="center"/>
          </w:tcPr>
          <w:p w14:paraId="6C078F47">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指标</w:t>
            </w:r>
          </w:p>
          <w:p w14:paraId="780C08AD">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权重</w:t>
            </w:r>
          </w:p>
          <w:p w14:paraId="03BD05BD">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（分）</w:t>
            </w:r>
          </w:p>
        </w:tc>
        <w:tc>
          <w:tcPr>
            <w:tcW w:w="1094" w:type="dxa"/>
            <w:gridSpan w:val="2"/>
            <w:tcBorders>
              <w:tl2br w:val="nil"/>
              <w:tr2bl w:val="nil"/>
            </w:tcBorders>
            <w:noWrap w:val="0"/>
            <w:vAlign w:val="center"/>
          </w:tcPr>
          <w:p w14:paraId="62AF9C28">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指标</w:t>
            </w:r>
          </w:p>
          <w:p w14:paraId="40BE4066">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得分</w:t>
            </w:r>
          </w:p>
          <w:p w14:paraId="638D9EC8">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（分）</w:t>
            </w:r>
          </w:p>
        </w:tc>
        <w:tc>
          <w:tcPr>
            <w:tcW w:w="892" w:type="dxa"/>
            <w:tcBorders>
              <w:tl2br w:val="nil"/>
              <w:tr2bl w:val="nil"/>
            </w:tcBorders>
            <w:noWrap w:val="0"/>
            <w:vAlign w:val="center"/>
          </w:tcPr>
          <w:p w14:paraId="32BE8A19">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方正仿宋_GBK" w:cs="方正仿宋_GBK"/>
                <w:color w:val="000000"/>
                <w:kern w:val="0"/>
                <w:sz w:val="24"/>
                <w:szCs w:val="24"/>
                <w:lang w:val="en-US" w:eastAsia="zh-CN"/>
              </w:rPr>
            </w:pPr>
            <w:r>
              <w:rPr>
                <w:rFonts w:hint="eastAsia" w:ascii="宋体" w:hAnsi="宋体" w:eastAsia="方正仿宋_GBK" w:cs="方正仿宋_GBK"/>
                <w:color w:val="000000"/>
                <w:kern w:val="0"/>
                <w:sz w:val="24"/>
                <w:szCs w:val="24"/>
                <w:lang w:val="en-US" w:eastAsia="zh-CN"/>
              </w:rPr>
              <w:t>说明</w:t>
            </w:r>
          </w:p>
        </w:tc>
      </w:tr>
      <w:tr w14:paraId="45D560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847" w:type="dxa"/>
            <w:vMerge w:val="continue"/>
            <w:tcBorders>
              <w:tl2br w:val="nil"/>
              <w:tr2bl w:val="nil"/>
            </w:tcBorders>
            <w:noWrap w:val="0"/>
            <w:vAlign w:val="center"/>
          </w:tcPr>
          <w:p w14:paraId="6EE250A7">
            <w:pPr>
              <w:keepNext w:val="0"/>
              <w:keepLines w:val="0"/>
              <w:pageBreakBefore w:val="0"/>
              <w:widowControl/>
              <w:kinsoku/>
              <w:wordWrap/>
              <w:overflowPunct/>
              <w:topLinePunct w:val="0"/>
              <w:autoSpaceDN/>
              <w:bidi w:val="0"/>
              <w:snapToGrid/>
              <w:spacing w:line="579" w:lineRule="exact"/>
              <w:textAlignment w:val="auto"/>
              <w:rPr>
                <w:rFonts w:hint="eastAsia" w:ascii="宋体" w:hAnsi="宋体" w:eastAsia="方正仿宋_GBK" w:cs="方正仿宋_GBK"/>
                <w:color w:val="000000"/>
                <w:kern w:val="0"/>
                <w:sz w:val="24"/>
                <w:szCs w:val="24"/>
              </w:rPr>
            </w:pPr>
          </w:p>
        </w:tc>
        <w:tc>
          <w:tcPr>
            <w:tcW w:w="1118" w:type="dxa"/>
            <w:tcBorders>
              <w:tl2br w:val="nil"/>
              <w:tr2bl w:val="nil"/>
            </w:tcBorders>
            <w:noWrap w:val="0"/>
            <w:vAlign w:val="center"/>
          </w:tcPr>
          <w:p w14:paraId="162A9FB6">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宋体" w:hAnsi="宋体" w:eastAsia="方正仿宋_GBK" w:cs="方正仿宋_GBK"/>
                <w:color w:val="000000"/>
                <w:kern w:val="0"/>
                <w:sz w:val="22"/>
                <w:szCs w:val="22"/>
              </w:rPr>
            </w:pPr>
            <w:r>
              <w:rPr>
                <w:rFonts w:hint="eastAsia" w:ascii="宋体" w:hAnsi="宋体" w:eastAsia="方正仿宋_GBK" w:cs="方正仿宋_GBK"/>
                <w:color w:val="000000"/>
                <w:kern w:val="0"/>
                <w:sz w:val="22"/>
                <w:szCs w:val="22"/>
              </w:rPr>
              <w:t>机房巡查频率</w:t>
            </w:r>
          </w:p>
        </w:tc>
        <w:tc>
          <w:tcPr>
            <w:tcW w:w="774" w:type="dxa"/>
            <w:tcBorders>
              <w:tl2br w:val="nil"/>
              <w:tr2bl w:val="nil"/>
            </w:tcBorders>
            <w:noWrap w:val="0"/>
            <w:vAlign w:val="center"/>
          </w:tcPr>
          <w:p w14:paraId="34285417">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天/月</w:t>
            </w:r>
          </w:p>
        </w:tc>
        <w:tc>
          <w:tcPr>
            <w:tcW w:w="1013" w:type="dxa"/>
            <w:gridSpan w:val="2"/>
            <w:tcBorders>
              <w:tl2br w:val="nil"/>
              <w:tr2bl w:val="nil"/>
            </w:tcBorders>
            <w:noWrap w:val="0"/>
            <w:vAlign w:val="center"/>
          </w:tcPr>
          <w:p w14:paraId="70E66595">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w:t>
            </w:r>
          </w:p>
        </w:tc>
        <w:tc>
          <w:tcPr>
            <w:tcW w:w="751" w:type="dxa"/>
            <w:tcBorders>
              <w:tl2br w:val="nil"/>
              <w:tr2bl w:val="nil"/>
            </w:tcBorders>
            <w:noWrap w:val="0"/>
            <w:vAlign w:val="center"/>
          </w:tcPr>
          <w:p w14:paraId="6C079267">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宋体" w:hAnsi="宋体" w:eastAsia="方正仿宋_GBK" w:cs="方正仿宋_GBK"/>
                <w:color w:val="000000"/>
                <w:kern w:val="0"/>
                <w:sz w:val="24"/>
                <w:szCs w:val="24"/>
                <w:lang w:val="en-US" w:eastAsia="zh-CN"/>
              </w:rPr>
            </w:pPr>
            <w:r>
              <w:rPr>
                <w:rFonts w:hint="eastAsia" w:ascii="宋体" w:hAnsi="宋体" w:eastAsia="方正仿宋_GBK" w:cs="方正仿宋_GBK"/>
                <w:color w:val="000000"/>
                <w:kern w:val="0"/>
                <w:sz w:val="24"/>
                <w:szCs w:val="24"/>
                <w:lang w:val="en-US" w:eastAsia="zh-CN"/>
              </w:rPr>
              <w:t>4</w:t>
            </w:r>
          </w:p>
        </w:tc>
        <w:tc>
          <w:tcPr>
            <w:tcW w:w="877" w:type="dxa"/>
            <w:gridSpan w:val="2"/>
            <w:tcBorders>
              <w:tl2br w:val="nil"/>
              <w:tr2bl w:val="nil"/>
            </w:tcBorders>
            <w:noWrap w:val="0"/>
            <w:vAlign w:val="center"/>
          </w:tcPr>
          <w:p w14:paraId="7726EF9C">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宋体" w:hAnsi="宋体" w:eastAsia="方正仿宋_GBK" w:cs="方正仿宋_GBK"/>
                <w:color w:val="000000"/>
                <w:kern w:val="0"/>
                <w:sz w:val="24"/>
                <w:szCs w:val="24"/>
                <w:lang w:val="en-US" w:eastAsia="zh-CN"/>
              </w:rPr>
            </w:pPr>
            <w:r>
              <w:rPr>
                <w:rFonts w:hint="eastAsia" w:ascii="宋体" w:hAnsi="宋体" w:eastAsia="方正仿宋_GBK" w:cs="方正仿宋_GBK"/>
                <w:color w:val="000000"/>
                <w:kern w:val="0"/>
                <w:sz w:val="24"/>
                <w:szCs w:val="24"/>
                <w:lang w:val="en-US" w:eastAsia="zh-CN"/>
              </w:rPr>
              <w:t>4</w:t>
            </w:r>
          </w:p>
        </w:tc>
        <w:tc>
          <w:tcPr>
            <w:tcW w:w="910" w:type="dxa"/>
            <w:tcBorders>
              <w:tl2br w:val="nil"/>
              <w:tr2bl w:val="nil"/>
            </w:tcBorders>
            <w:noWrap w:val="0"/>
            <w:vAlign w:val="center"/>
          </w:tcPr>
          <w:p w14:paraId="1A09115A">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宋体" w:hAnsi="宋体" w:eastAsia="方正仿宋_GBK" w:cs="方正仿宋_GBK"/>
                <w:color w:val="000000"/>
                <w:kern w:val="0"/>
                <w:sz w:val="24"/>
                <w:szCs w:val="24"/>
                <w:lang w:val="en-US" w:eastAsia="zh-CN"/>
              </w:rPr>
            </w:pPr>
            <w:r>
              <w:rPr>
                <w:rFonts w:hint="eastAsia" w:ascii="宋体" w:hAnsi="宋体" w:eastAsia="方正仿宋_GBK" w:cs="方正仿宋_GBK"/>
                <w:color w:val="000000"/>
                <w:kern w:val="0"/>
                <w:sz w:val="24"/>
                <w:szCs w:val="24"/>
                <w:lang w:val="en-US" w:eastAsia="zh-CN"/>
              </w:rPr>
              <w:t>0</w:t>
            </w:r>
          </w:p>
        </w:tc>
        <w:tc>
          <w:tcPr>
            <w:tcW w:w="888" w:type="dxa"/>
            <w:tcBorders>
              <w:tl2br w:val="nil"/>
              <w:tr2bl w:val="nil"/>
            </w:tcBorders>
            <w:noWrap w:val="0"/>
            <w:vAlign w:val="center"/>
          </w:tcPr>
          <w:p w14:paraId="17263AC4">
            <w:pPr>
              <w:keepNext w:val="0"/>
              <w:keepLines w:val="0"/>
              <w:pageBreakBefore w:val="0"/>
              <w:widowControl/>
              <w:kinsoku/>
              <w:wordWrap/>
              <w:overflowPunct/>
              <w:topLinePunct w:val="0"/>
              <w:autoSpaceDE/>
              <w:autoSpaceDN/>
              <w:bidi w:val="0"/>
              <w:adjustRightInd/>
              <w:snapToGrid/>
              <w:spacing w:line="360" w:lineRule="exact"/>
              <w:textAlignment w:val="auto"/>
              <w:rPr>
                <w:rFonts w:hint="default" w:ascii="宋体" w:hAnsi="宋体" w:eastAsia="方正仿宋_GBK" w:cs="方正仿宋_GBK"/>
                <w:color w:val="000000"/>
                <w:kern w:val="0"/>
                <w:sz w:val="24"/>
                <w:szCs w:val="24"/>
                <w:lang w:val="en-US" w:eastAsia="zh-CN"/>
              </w:rPr>
            </w:pPr>
            <w:r>
              <w:rPr>
                <w:rFonts w:hint="eastAsia" w:ascii="宋体" w:hAnsi="宋体" w:eastAsia="方正仿宋_GBK" w:cs="方正仿宋_GBK"/>
                <w:color w:val="000000"/>
                <w:kern w:val="0"/>
                <w:sz w:val="24"/>
                <w:szCs w:val="24"/>
                <w:lang w:val="en-US" w:eastAsia="zh-CN"/>
              </w:rPr>
              <w:t>100</w:t>
            </w:r>
          </w:p>
        </w:tc>
        <w:tc>
          <w:tcPr>
            <w:tcW w:w="968" w:type="dxa"/>
            <w:tcBorders>
              <w:tl2br w:val="nil"/>
              <w:tr2bl w:val="nil"/>
            </w:tcBorders>
            <w:noWrap w:val="0"/>
            <w:vAlign w:val="center"/>
          </w:tcPr>
          <w:p w14:paraId="6BC18D76">
            <w:pPr>
              <w:keepNext w:val="0"/>
              <w:keepLines w:val="0"/>
              <w:pageBreakBefore w:val="0"/>
              <w:widowControl/>
              <w:kinsoku/>
              <w:wordWrap/>
              <w:overflowPunct/>
              <w:topLinePunct w:val="0"/>
              <w:autoSpaceDE/>
              <w:autoSpaceDN/>
              <w:bidi w:val="0"/>
              <w:adjustRightInd/>
              <w:snapToGrid/>
              <w:spacing w:line="360" w:lineRule="exact"/>
              <w:textAlignment w:val="auto"/>
              <w:rPr>
                <w:rFonts w:hint="default" w:ascii="宋体" w:hAnsi="宋体" w:eastAsia="方正仿宋_GBK" w:cs="方正仿宋_GBK"/>
                <w:color w:val="000000"/>
                <w:kern w:val="0"/>
                <w:sz w:val="24"/>
                <w:szCs w:val="24"/>
                <w:lang w:val="en-US" w:eastAsia="zh-CN"/>
              </w:rPr>
            </w:pPr>
            <w:r>
              <w:rPr>
                <w:rFonts w:hint="eastAsia" w:ascii="宋体" w:hAnsi="宋体" w:eastAsia="方正仿宋_GBK" w:cs="方正仿宋_GBK"/>
                <w:color w:val="000000"/>
                <w:kern w:val="0"/>
                <w:sz w:val="24"/>
                <w:szCs w:val="24"/>
                <w:lang w:val="en-US" w:eastAsia="zh-CN"/>
              </w:rPr>
              <w:t>10</w:t>
            </w:r>
          </w:p>
        </w:tc>
        <w:tc>
          <w:tcPr>
            <w:tcW w:w="1094" w:type="dxa"/>
            <w:gridSpan w:val="2"/>
            <w:tcBorders>
              <w:tl2br w:val="nil"/>
              <w:tr2bl w:val="nil"/>
            </w:tcBorders>
            <w:noWrap w:val="0"/>
            <w:vAlign w:val="center"/>
          </w:tcPr>
          <w:p w14:paraId="62DB5DE8">
            <w:pPr>
              <w:keepNext w:val="0"/>
              <w:keepLines w:val="0"/>
              <w:pageBreakBefore w:val="0"/>
              <w:widowControl/>
              <w:kinsoku/>
              <w:wordWrap/>
              <w:overflowPunct/>
              <w:topLinePunct w:val="0"/>
              <w:autoSpaceDE/>
              <w:autoSpaceDN/>
              <w:bidi w:val="0"/>
              <w:adjustRightInd/>
              <w:snapToGrid/>
              <w:spacing w:line="360" w:lineRule="exact"/>
              <w:textAlignment w:val="auto"/>
              <w:rPr>
                <w:rFonts w:hint="default" w:ascii="宋体" w:hAnsi="宋体" w:eastAsia="方正仿宋_GBK" w:cs="方正仿宋_GBK"/>
                <w:color w:val="000000"/>
                <w:kern w:val="0"/>
                <w:sz w:val="24"/>
                <w:szCs w:val="24"/>
                <w:lang w:val="en-US" w:eastAsia="zh-CN"/>
              </w:rPr>
            </w:pPr>
            <w:r>
              <w:rPr>
                <w:rFonts w:hint="eastAsia" w:ascii="宋体" w:hAnsi="宋体" w:eastAsia="方正仿宋_GBK" w:cs="方正仿宋_GBK"/>
                <w:color w:val="000000"/>
                <w:kern w:val="0"/>
                <w:sz w:val="24"/>
                <w:szCs w:val="24"/>
                <w:lang w:val="en-US" w:eastAsia="zh-CN"/>
              </w:rPr>
              <w:t>10</w:t>
            </w:r>
          </w:p>
        </w:tc>
        <w:tc>
          <w:tcPr>
            <w:tcW w:w="892" w:type="dxa"/>
            <w:tcBorders>
              <w:tl2br w:val="nil"/>
              <w:tr2bl w:val="nil"/>
            </w:tcBorders>
            <w:noWrap w:val="0"/>
            <w:vAlign w:val="center"/>
          </w:tcPr>
          <w:p w14:paraId="0E25E10B">
            <w:pPr>
              <w:keepNext w:val="0"/>
              <w:keepLines w:val="0"/>
              <w:pageBreakBefore w:val="0"/>
              <w:widowControl/>
              <w:kinsoku/>
              <w:wordWrap/>
              <w:overflowPunct/>
              <w:topLinePunct w:val="0"/>
              <w:autoSpaceDN/>
              <w:bidi w:val="0"/>
              <w:snapToGrid/>
              <w:spacing w:line="579" w:lineRule="exact"/>
              <w:textAlignment w:val="auto"/>
              <w:rPr>
                <w:rFonts w:hint="eastAsia" w:ascii="宋体" w:hAnsi="宋体" w:eastAsia="方正仿宋_GBK" w:cs="方正仿宋_GBK"/>
                <w:color w:val="000000"/>
                <w:kern w:val="0"/>
                <w:sz w:val="24"/>
                <w:szCs w:val="24"/>
              </w:rPr>
            </w:pPr>
          </w:p>
        </w:tc>
      </w:tr>
      <w:tr w14:paraId="1BB1BC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847" w:type="dxa"/>
            <w:vMerge w:val="continue"/>
            <w:tcBorders>
              <w:tl2br w:val="nil"/>
              <w:tr2bl w:val="nil"/>
            </w:tcBorders>
            <w:noWrap w:val="0"/>
            <w:vAlign w:val="center"/>
          </w:tcPr>
          <w:p w14:paraId="28F5CE28">
            <w:pPr>
              <w:keepNext w:val="0"/>
              <w:keepLines w:val="0"/>
              <w:pageBreakBefore w:val="0"/>
              <w:widowControl/>
              <w:kinsoku/>
              <w:wordWrap/>
              <w:overflowPunct/>
              <w:topLinePunct w:val="0"/>
              <w:autoSpaceDN/>
              <w:bidi w:val="0"/>
              <w:snapToGrid/>
              <w:spacing w:line="579" w:lineRule="exact"/>
              <w:textAlignment w:val="auto"/>
              <w:rPr>
                <w:rFonts w:hint="eastAsia" w:ascii="宋体" w:hAnsi="宋体" w:eastAsia="方正仿宋_GBK" w:cs="方正仿宋_GBK"/>
                <w:color w:val="000000"/>
                <w:kern w:val="0"/>
                <w:sz w:val="24"/>
                <w:szCs w:val="24"/>
              </w:rPr>
            </w:pPr>
          </w:p>
        </w:tc>
        <w:tc>
          <w:tcPr>
            <w:tcW w:w="1118" w:type="dxa"/>
            <w:tcBorders>
              <w:tl2br w:val="nil"/>
              <w:tr2bl w:val="nil"/>
            </w:tcBorders>
            <w:noWrap w:val="0"/>
            <w:vAlign w:val="center"/>
          </w:tcPr>
          <w:p w14:paraId="02796FEF">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宋体" w:hAnsi="宋体" w:eastAsia="方正仿宋_GBK" w:cs="方正仿宋_GBK"/>
                <w:color w:val="000000"/>
                <w:kern w:val="0"/>
                <w:sz w:val="22"/>
                <w:szCs w:val="22"/>
              </w:rPr>
            </w:pPr>
            <w:r>
              <w:rPr>
                <w:rFonts w:hint="eastAsia" w:ascii="宋体" w:hAnsi="宋体" w:eastAsia="方正仿宋_GBK" w:cs="方正仿宋_GBK"/>
                <w:color w:val="000000"/>
                <w:kern w:val="0"/>
                <w:sz w:val="22"/>
                <w:szCs w:val="22"/>
              </w:rPr>
              <w:t>年稳定运行天数</w:t>
            </w:r>
          </w:p>
        </w:tc>
        <w:tc>
          <w:tcPr>
            <w:tcW w:w="774" w:type="dxa"/>
            <w:tcBorders>
              <w:tl2br w:val="nil"/>
              <w:tr2bl w:val="nil"/>
            </w:tcBorders>
            <w:noWrap w:val="0"/>
            <w:vAlign w:val="center"/>
          </w:tcPr>
          <w:p w14:paraId="4FCB0E53">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天</w:t>
            </w:r>
          </w:p>
        </w:tc>
        <w:tc>
          <w:tcPr>
            <w:tcW w:w="1013" w:type="dxa"/>
            <w:gridSpan w:val="2"/>
            <w:tcBorders>
              <w:tl2br w:val="nil"/>
              <w:tr2bl w:val="nil"/>
            </w:tcBorders>
            <w:noWrap w:val="0"/>
            <w:vAlign w:val="center"/>
          </w:tcPr>
          <w:p w14:paraId="5371F66D">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w:t>
            </w:r>
          </w:p>
        </w:tc>
        <w:tc>
          <w:tcPr>
            <w:tcW w:w="751" w:type="dxa"/>
            <w:tcBorders>
              <w:tl2br w:val="nil"/>
              <w:tr2bl w:val="nil"/>
            </w:tcBorders>
            <w:noWrap w:val="0"/>
            <w:vAlign w:val="center"/>
          </w:tcPr>
          <w:p w14:paraId="1A700E2D">
            <w:pPr>
              <w:keepNext w:val="0"/>
              <w:keepLines w:val="0"/>
              <w:pageBreakBefore w:val="0"/>
              <w:widowControl/>
              <w:kinsoku/>
              <w:wordWrap/>
              <w:overflowPunct/>
              <w:topLinePunct w:val="0"/>
              <w:autoSpaceDE/>
              <w:autoSpaceDN/>
              <w:bidi w:val="0"/>
              <w:adjustRightInd/>
              <w:snapToGrid/>
              <w:spacing w:line="360" w:lineRule="exact"/>
              <w:textAlignment w:val="auto"/>
              <w:rPr>
                <w:rFonts w:hint="default" w:ascii="宋体" w:hAnsi="宋体" w:eastAsia="方正仿宋_GBK" w:cs="方正仿宋_GBK"/>
                <w:color w:val="000000"/>
                <w:kern w:val="0"/>
                <w:sz w:val="24"/>
                <w:szCs w:val="24"/>
                <w:lang w:val="en-US" w:eastAsia="zh-CN"/>
              </w:rPr>
            </w:pPr>
            <w:r>
              <w:rPr>
                <w:rFonts w:hint="eastAsia" w:ascii="宋体" w:hAnsi="宋体" w:eastAsia="方正仿宋_GBK" w:cs="方正仿宋_GBK"/>
                <w:color w:val="000000"/>
                <w:kern w:val="0"/>
                <w:sz w:val="24"/>
                <w:szCs w:val="24"/>
                <w:lang w:val="en-US" w:eastAsia="zh-CN"/>
              </w:rPr>
              <w:t>365</w:t>
            </w:r>
          </w:p>
        </w:tc>
        <w:tc>
          <w:tcPr>
            <w:tcW w:w="877" w:type="dxa"/>
            <w:gridSpan w:val="2"/>
            <w:tcBorders>
              <w:tl2br w:val="nil"/>
              <w:tr2bl w:val="nil"/>
            </w:tcBorders>
            <w:noWrap w:val="0"/>
            <w:vAlign w:val="center"/>
          </w:tcPr>
          <w:p w14:paraId="2B38F0B9">
            <w:pPr>
              <w:keepNext w:val="0"/>
              <w:keepLines w:val="0"/>
              <w:pageBreakBefore w:val="0"/>
              <w:widowControl/>
              <w:kinsoku/>
              <w:wordWrap/>
              <w:overflowPunct/>
              <w:topLinePunct w:val="0"/>
              <w:autoSpaceDE/>
              <w:autoSpaceDN/>
              <w:bidi w:val="0"/>
              <w:adjustRightInd/>
              <w:snapToGrid/>
              <w:spacing w:line="360" w:lineRule="exact"/>
              <w:textAlignment w:val="auto"/>
              <w:rPr>
                <w:rFonts w:hint="default" w:ascii="宋体" w:hAnsi="宋体" w:eastAsia="方正仿宋_GBK" w:cs="方正仿宋_GBK"/>
                <w:color w:val="000000"/>
                <w:kern w:val="0"/>
                <w:sz w:val="24"/>
                <w:szCs w:val="24"/>
                <w:lang w:val="en-US" w:eastAsia="zh-CN"/>
              </w:rPr>
            </w:pPr>
            <w:r>
              <w:rPr>
                <w:rFonts w:hint="eastAsia" w:ascii="宋体" w:hAnsi="宋体" w:eastAsia="方正仿宋_GBK" w:cs="方正仿宋_GBK"/>
                <w:color w:val="000000"/>
                <w:kern w:val="0"/>
                <w:sz w:val="24"/>
                <w:szCs w:val="24"/>
                <w:lang w:val="en-US" w:eastAsia="zh-CN"/>
              </w:rPr>
              <w:t>365</w:t>
            </w:r>
          </w:p>
        </w:tc>
        <w:tc>
          <w:tcPr>
            <w:tcW w:w="910" w:type="dxa"/>
            <w:tcBorders>
              <w:tl2br w:val="nil"/>
              <w:tr2bl w:val="nil"/>
            </w:tcBorders>
            <w:noWrap w:val="0"/>
            <w:vAlign w:val="center"/>
          </w:tcPr>
          <w:p w14:paraId="60DF2121">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宋体" w:hAnsi="宋体" w:eastAsia="方正仿宋_GBK" w:cs="方正仿宋_GBK"/>
                <w:color w:val="000000"/>
                <w:kern w:val="0"/>
                <w:sz w:val="24"/>
                <w:szCs w:val="24"/>
                <w:lang w:val="en-US" w:eastAsia="zh-CN"/>
              </w:rPr>
            </w:pPr>
            <w:r>
              <w:rPr>
                <w:rFonts w:hint="eastAsia" w:ascii="宋体" w:hAnsi="宋体" w:eastAsia="方正仿宋_GBK" w:cs="方正仿宋_GBK"/>
                <w:color w:val="000000"/>
                <w:kern w:val="0"/>
                <w:sz w:val="24"/>
                <w:szCs w:val="24"/>
                <w:lang w:val="en-US" w:eastAsia="zh-CN"/>
              </w:rPr>
              <w:t>0</w:t>
            </w:r>
          </w:p>
        </w:tc>
        <w:tc>
          <w:tcPr>
            <w:tcW w:w="888" w:type="dxa"/>
            <w:tcBorders>
              <w:tl2br w:val="nil"/>
              <w:tr2bl w:val="nil"/>
            </w:tcBorders>
            <w:noWrap w:val="0"/>
            <w:vAlign w:val="center"/>
          </w:tcPr>
          <w:p w14:paraId="777CA107">
            <w:pPr>
              <w:keepNext w:val="0"/>
              <w:keepLines w:val="0"/>
              <w:pageBreakBefore w:val="0"/>
              <w:widowControl/>
              <w:kinsoku/>
              <w:wordWrap/>
              <w:overflowPunct/>
              <w:topLinePunct w:val="0"/>
              <w:autoSpaceDE/>
              <w:autoSpaceDN/>
              <w:bidi w:val="0"/>
              <w:adjustRightInd/>
              <w:snapToGrid/>
              <w:spacing w:line="360" w:lineRule="exact"/>
              <w:textAlignment w:val="auto"/>
              <w:rPr>
                <w:rFonts w:hint="default" w:ascii="宋体" w:hAnsi="宋体" w:eastAsia="方正仿宋_GBK" w:cs="方正仿宋_GBK"/>
                <w:color w:val="000000"/>
                <w:kern w:val="0"/>
                <w:sz w:val="24"/>
                <w:szCs w:val="24"/>
                <w:lang w:val="en-US" w:eastAsia="zh-CN"/>
              </w:rPr>
            </w:pPr>
            <w:r>
              <w:rPr>
                <w:rFonts w:hint="eastAsia" w:ascii="宋体" w:hAnsi="宋体" w:eastAsia="方正仿宋_GBK" w:cs="方正仿宋_GBK"/>
                <w:color w:val="000000"/>
                <w:kern w:val="0"/>
                <w:sz w:val="24"/>
                <w:szCs w:val="24"/>
                <w:lang w:val="en-US" w:eastAsia="zh-CN"/>
              </w:rPr>
              <w:t>100</w:t>
            </w:r>
          </w:p>
        </w:tc>
        <w:tc>
          <w:tcPr>
            <w:tcW w:w="968" w:type="dxa"/>
            <w:tcBorders>
              <w:tl2br w:val="nil"/>
              <w:tr2bl w:val="nil"/>
            </w:tcBorders>
            <w:noWrap w:val="0"/>
            <w:vAlign w:val="center"/>
          </w:tcPr>
          <w:p w14:paraId="1A64DA45">
            <w:pPr>
              <w:keepNext w:val="0"/>
              <w:keepLines w:val="0"/>
              <w:pageBreakBefore w:val="0"/>
              <w:widowControl/>
              <w:kinsoku/>
              <w:wordWrap/>
              <w:overflowPunct/>
              <w:topLinePunct w:val="0"/>
              <w:autoSpaceDE/>
              <w:autoSpaceDN/>
              <w:bidi w:val="0"/>
              <w:adjustRightInd/>
              <w:snapToGrid/>
              <w:spacing w:line="360" w:lineRule="exact"/>
              <w:textAlignment w:val="auto"/>
              <w:rPr>
                <w:rFonts w:hint="default" w:ascii="宋体" w:hAnsi="宋体" w:eastAsia="方正仿宋_GBK" w:cs="方正仿宋_GBK"/>
                <w:color w:val="000000"/>
                <w:kern w:val="0"/>
                <w:sz w:val="24"/>
                <w:szCs w:val="24"/>
                <w:lang w:val="en-US" w:eastAsia="zh-CN"/>
              </w:rPr>
            </w:pPr>
            <w:r>
              <w:rPr>
                <w:rFonts w:hint="eastAsia" w:ascii="宋体" w:hAnsi="宋体" w:eastAsia="方正仿宋_GBK" w:cs="方正仿宋_GBK"/>
                <w:color w:val="000000"/>
                <w:kern w:val="0"/>
                <w:sz w:val="24"/>
                <w:szCs w:val="24"/>
                <w:lang w:val="en-US" w:eastAsia="zh-CN"/>
              </w:rPr>
              <w:t>20</w:t>
            </w:r>
          </w:p>
        </w:tc>
        <w:tc>
          <w:tcPr>
            <w:tcW w:w="1094" w:type="dxa"/>
            <w:gridSpan w:val="2"/>
            <w:tcBorders>
              <w:tl2br w:val="nil"/>
              <w:tr2bl w:val="nil"/>
            </w:tcBorders>
            <w:noWrap w:val="0"/>
            <w:vAlign w:val="center"/>
          </w:tcPr>
          <w:p w14:paraId="38A5485A">
            <w:pPr>
              <w:keepNext w:val="0"/>
              <w:keepLines w:val="0"/>
              <w:pageBreakBefore w:val="0"/>
              <w:widowControl/>
              <w:kinsoku/>
              <w:wordWrap/>
              <w:overflowPunct/>
              <w:topLinePunct w:val="0"/>
              <w:autoSpaceDE/>
              <w:autoSpaceDN/>
              <w:bidi w:val="0"/>
              <w:adjustRightInd/>
              <w:snapToGrid/>
              <w:spacing w:line="360" w:lineRule="exact"/>
              <w:textAlignment w:val="auto"/>
              <w:rPr>
                <w:rFonts w:hint="default" w:ascii="宋体" w:hAnsi="宋体" w:eastAsia="方正仿宋_GBK" w:cs="方正仿宋_GBK"/>
                <w:color w:val="000000"/>
                <w:kern w:val="0"/>
                <w:sz w:val="24"/>
                <w:szCs w:val="24"/>
                <w:lang w:val="en-US" w:eastAsia="zh-CN"/>
              </w:rPr>
            </w:pPr>
            <w:r>
              <w:rPr>
                <w:rFonts w:hint="eastAsia" w:ascii="宋体" w:hAnsi="宋体" w:eastAsia="方正仿宋_GBK" w:cs="方正仿宋_GBK"/>
                <w:color w:val="000000"/>
                <w:kern w:val="0"/>
                <w:sz w:val="24"/>
                <w:szCs w:val="24"/>
                <w:lang w:val="en-US" w:eastAsia="zh-CN"/>
              </w:rPr>
              <w:t>20</w:t>
            </w:r>
          </w:p>
        </w:tc>
        <w:tc>
          <w:tcPr>
            <w:tcW w:w="892" w:type="dxa"/>
            <w:tcBorders>
              <w:tl2br w:val="nil"/>
              <w:tr2bl w:val="nil"/>
            </w:tcBorders>
            <w:noWrap w:val="0"/>
            <w:vAlign w:val="center"/>
          </w:tcPr>
          <w:p w14:paraId="1F06E620">
            <w:pPr>
              <w:keepNext w:val="0"/>
              <w:keepLines w:val="0"/>
              <w:pageBreakBefore w:val="0"/>
              <w:widowControl/>
              <w:kinsoku/>
              <w:wordWrap/>
              <w:overflowPunct/>
              <w:topLinePunct w:val="0"/>
              <w:autoSpaceDN/>
              <w:bidi w:val="0"/>
              <w:snapToGrid/>
              <w:spacing w:line="579" w:lineRule="exact"/>
              <w:textAlignment w:val="auto"/>
              <w:rPr>
                <w:rFonts w:hint="eastAsia" w:ascii="宋体" w:hAnsi="宋体" w:eastAsia="方正仿宋_GBK" w:cs="方正仿宋_GBK"/>
                <w:color w:val="000000"/>
                <w:kern w:val="0"/>
                <w:sz w:val="24"/>
                <w:szCs w:val="24"/>
              </w:rPr>
            </w:pPr>
          </w:p>
        </w:tc>
      </w:tr>
      <w:tr w14:paraId="7B102F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8" w:hRule="atLeast"/>
          <w:jc w:val="center"/>
        </w:trPr>
        <w:tc>
          <w:tcPr>
            <w:tcW w:w="847" w:type="dxa"/>
            <w:vMerge w:val="continue"/>
            <w:tcBorders>
              <w:tl2br w:val="nil"/>
              <w:tr2bl w:val="nil"/>
            </w:tcBorders>
            <w:noWrap w:val="0"/>
            <w:vAlign w:val="center"/>
          </w:tcPr>
          <w:p w14:paraId="42B82692">
            <w:pPr>
              <w:keepNext w:val="0"/>
              <w:keepLines w:val="0"/>
              <w:pageBreakBefore w:val="0"/>
              <w:widowControl/>
              <w:kinsoku/>
              <w:wordWrap/>
              <w:overflowPunct/>
              <w:topLinePunct w:val="0"/>
              <w:autoSpaceDN/>
              <w:bidi w:val="0"/>
              <w:snapToGrid/>
              <w:spacing w:line="579" w:lineRule="exact"/>
              <w:textAlignment w:val="auto"/>
              <w:rPr>
                <w:rFonts w:hint="eastAsia" w:ascii="宋体" w:hAnsi="宋体" w:eastAsia="方正仿宋_GBK" w:cs="方正仿宋_GBK"/>
                <w:color w:val="000000"/>
                <w:kern w:val="0"/>
                <w:sz w:val="24"/>
                <w:szCs w:val="24"/>
              </w:rPr>
            </w:pPr>
          </w:p>
        </w:tc>
        <w:tc>
          <w:tcPr>
            <w:tcW w:w="1118" w:type="dxa"/>
            <w:tcBorders>
              <w:tl2br w:val="nil"/>
              <w:tr2bl w:val="nil"/>
            </w:tcBorders>
            <w:noWrap w:val="0"/>
            <w:vAlign w:val="center"/>
          </w:tcPr>
          <w:p w14:paraId="6CFAE4EE">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宋体" w:hAnsi="宋体" w:eastAsia="方正仿宋_GBK" w:cs="方正仿宋_GBK"/>
                <w:color w:val="000000"/>
                <w:kern w:val="0"/>
                <w:sz w:val="22"/>
                <w:szCs w:val="22"/>
              </w:rPr>
            </w:pPr>
            <w:r>
              <w:rPr>
                <w:rFonts w:hint="eastAsia" w:ascii="宋体" w:hAnsi="宋体" w:eastAsia="方正仿宋_GBK" w:cs="方正仿宋_GBK"/>
                <w:color w:val="000000"/>
                <w:kern w:val="0"/>
                <w:sz w:val="22"/>
                <w:szCs w:val="22"/>
              </w:rPr>
              <w:t>系统故障修复处理时间</w:t>
            </w:r>
          </w:p>
        </w:tc>
        <w:tc>
          <w:tcPr>
            <w:tcW w:w="774" w:type="dxa"/>
            <w:tcBorders>
              <w:tl2br w:val="nil"/>
              <w:tr2bl w:val="nil"/>
            </w:tcBorders>
            <w:noWrap w:val="0"/>
            <w:vAlign w:val="center"/>
          </w:tcPr>
          <w:p w14:paraId="0A828561">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小时</w:t>
            </w:r>
          </w:p>
        </w:tc>
        <w:tc>
          <w:tcPr>
            <w:tcW w:w="1013" w:type="dxa"/>
            <w:gridSpan w:val="2"/>
            <w:tcBorders>
              <w:tl2br w:val="nil"/>
              <w:tr2bl w:val="nil"/>
            </w:tcBorders>
            <w:noWrap w:val="0"/>
            <w:vAlign w:val="center"/>
          </w:tcPr>
          <w:p w14:paraId="79483B55">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w:t>
            </w:r>
          </w:p>
        </w:tc>
        <w:tc>
          <w:tcPr>
            <w:tcW w:w="751" w:type="dxa"/>
            <w:tcBorders>
              <w:tl2br w:val="nil"/>
              <w:tr2bl w:val="nil"/>
            </w:tcBorders>
            <w:noWrap w:val="0"/>
            <w:vAlign w:val="center"/>
          </w:tcPr>
          <w:p w14:paraId="28C4181B">
            <w:pPr>
              <w:keepNext w:val="0"/>
              <w:keepLines w:val="0"/>
              <w:pageBreakBefore w:val="0"/>
              <w:widowControl/>
              <w:kinsoku/>
              <w:wordWrap/>
              <w:overflowPunct/>
              <w:topLinePunct w:val="0"/>
              <w:autoSpaceDE/>
              <w:autoSpaceDN/>
              <w:bidi w:val="0"/>
              <w:adjustRightInd/>
              <w:snapToGrid/>
              <w:spacing w:line="360" w:lineRule="exact"/>
              <w:textAlignment w:val="auto"/>
              <w:rPr>
                <w:rFonts w:hint="default" w:ascii="宋体" w:hAnsi="宋体" w:eastAsia="方正仿宋_GBK" w:cs="方正仿宋_GBK"/>
                <w:color w:val="000000"/>
                <w:kern w:val="0"/>
                <w:sz w:val="24"/>
                <w:szCs w:val="24"/>
                <w:lang w:val="en-US" w:eastAsia="zh-CN"/>
              </w:rPr>
            </w:pPr>
            <w:r>
              <w:rPr>
                <w:rFonts w:hint="eastAsia" w:ascii="宋体" w:hAnsi="宋体" w:eastAsia="方正仿宋_GBK" w:cs="方正仿宋_GBK"/>
                <w:color w:val="000000"/>
                <w:kern w:val="0"/>
                <w:sz w:val="24"/>
                <w:szCs w:val="24"/>
                <w:lang w:val="en-US" w:eastAsia="zh-CN"/>
              </w:rPr>
              <w:t>24</w:t>
            </w:r>
          </w:p>
        </w:tc>
        <w:tc>
          <w:tcPr>
            <w:tcW w:w="877" w:type="dxa"/>
            <w:gridSpan w:val="2"/>
            <w:tcBorders>
              <w:tl2br w:val="nil"/>
              <w:tr2bl w:val="nil"/>
            </w:tcBorders>
            <w:noWrap w:val="0"/>
            <w:vAlign w:val="center"/>
          </w:tcPr>
          <w:p w14:paraId="4A6A588F">
            <w:pPr>
              <w:keepNext w:val="0"/>
              <w:keepLines w:val="0"/>
              <w:pageBreakBefore w:val="0"/>
              <w:widowControl/>
              <w:kinsoku/>
              <w:wordWrap/>
              <w:overflowPunct/>
              <w:topLinePunct w:val="0"/>
              <w:autoSpaceDE/>
              <w:autoSpaceDN/>
              <w:bidi w:val="0"/>
              <w:adjustRightInd/>
              <w:snapToGrid/>
              <w:spacing w:line="360" w:lineRule="exact"/>
              <w:textAlignment w:val="auto"/>
              <w:rPr>
                <w:rFonts w:hint="default" w:ascii="宋体" w:hAnsi="宋体" w:eastAsia="方正仿宋_GBK" w:cs="方正仿宋_GBK"/>
                <w:color w:val="000000"/>
                <w:kern w:val="0"/>
                <w:sz w:val="24"/>
                <w:szCs w:val="24"/>
                <w:lang w:val="en-US" w:eastAsia="zh-CN"/>
              </w:rPr>
            </w:pPr>
            <w:r>
              <w:rPr>
                <w:rFonts w:hint="eastAsia" w:ascii="宋体" w:hAnsi="宋体" w:eastAsia="方正仿宋_GBK" w:cs="方正仿宋_GBK"/>
                <w:color w:val="000000"/>
                <w:kern w:val="0"/>
                <w:sz w:val="24"/>
                <w:szCs w:val="24"/>
                <w:lang w:val="en-US" w:eastAsia="zh-CN"/>
              </w:rPr>
              <w:t>24</w:t>
            </w:r>
          </w:p>
        </w:tc>
        <w:tc>
          <w:tcPr>
            <w:tcW w:w="910" w:type="dxa"/>
            <w:tcBorders>
              <w:tl2br w:val="nil"/>
              <w:tr2bl w:val="nil"/>
            </w:tcBorders>
            <w:noWrap w:val="0"/>
            <w:vAlign w:val="center"/>
          </w:tcPr>
          <w:p w14:paraId="62C31419">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宋体" w:hAnsi="宋体" w:eastAsia="方正仿宋_GBK" w:cs="方正仿宋_GBK"/>
                <w:color w:val="000000"/>
                <w:kern w:val="0"/>
                <w:sz w:val="24"/>
                <w:szCs w:val="24"/>
                <w:lang w:val="en-US" w:eastAsia="zh-CN"/>
              </w:rPr>
            </w:pPr>
            <w:r>
              <w:rPr>
                <w:rFonts w:hint="eastAsia" w:ascii="宋体" w:hAnsi="宋体" w:eastAsia="方正仿宋_GBK" w:cs="方正仿宋_GBK"/>
                <w:color w:val="000000"/>
                <w:kern w:val="0"/>
                <w:sz w:val="24"/>
                <w:szCs w:val="24"/>
                <w:lang w:val="en-US" w:eastAsia="zh-CN"/>
              </w:rPr>
              <w:t>0</w:t>
            </w:r>
          </w:p>
        </w:tc>
        <w:tc>
          <w:tcPr>
            <w:tcW w:w="888" w:type="dxa"/>
            <w:tcBorders>
              <w:tl2br w:val="nil"/>
              <w:tr2bl w:val="nil"/>
            </w:tcBorders>
            <w:noWrap w:val="0"/>
            <w:vAlign w:val="center"/>
          </w:tcPr>
          <w:p w14:paraId="6C11E7B6">
            <w:pPr>
              <w:keepNext w:val="0"/>
              <w:keepLines w:val="0"/>
              <w:pageBreakBefore w:val="0"/>
              <w:widowControl/>
              <w:kinsoku/>
              <w:wordWrap/>
              <w:overflowPunct/>
              <w:topLinePunct w:val="0"/>
              <w:autoSpaceDE/>
              <w:autoSpaceDN/>
              <w:bidi w:val="0"/>
              <w:adjustRightInd/>
              <w:snapToGrid/>
              <w:spacing w:line="360" w:lineRule="exact"/>
              <w:textAlignment w:val="auto"/>
              <w:rPr>
                <w:rFonts w:hint="default" w:ascii="宋体" w:hAnsi="宋体" w:eastAsia="方正仿宋_GBK" w:cs="方正仿宋_GBK"/>
                <w:color w:val="000000"/>
                <w:kern w:val="0"/>
                <w:sz w:val="24"/>
                <w:szCs w:val="24"/>
                <w:lang w:val="en-US" w:eastAsia="zh-CN"/>
              </w:rPr>
            </w:pPr>
            <w:r>
              <w:rPr>
                <w:rFonts w:hint="eastAsia" w:ascii="宋体" w:hAnsi="宋体" w:eastAsia="方正仿宋_GBK" w:cs="方正仿宋_GBK"/>
                <w:color w:val="000000"/>
                <w:kern w:val="0"/>
                <w:sz w:val="24"/>
                <w:szCs w:val="24"/>
                <w:lang w:val="en-US" w:eastAsia="zh-CN"/>
              </w:rPr>
              <w:t>100</w:t>
            </w:r>
          </w:p>
        </w:tc>
        <w:tc>
          <w:tcPr>
            <w:tcW w:w="968" w:type="dxa"/>
            <w:tcBorders>
              <w:tl2br w:val="nil"/>
              <w:tr2bl w:val="nil"/>
            </w:tcBorders>
            <w:noWrap w:val="0"/>
            <w:vAlign w:val="center"/>
          </w:tcPr>
          <w:p w14:paraId="418463B9">
            <w:pPr>
              <w:keepNext w:val="0"/>
              <w:keepLines w:val="0"/>
              <w:pageBreakBefore w:val="0"/>
              <w:widowControl/>
              <w:kinsoku/>
              <w:wordWrap/>
              <w:overflowPunct/>
              <w:topLinePunct w:val="0"/>
              <w:autoSpaceDE/>
              <w:autoSpaceDN/>
              <w:bidi w:val="0"/>
              <w:adjustRightInd/>
              <w:snapToGrid/>
              <w:spacing w:line="360" w:lineRule="exact"/>
              <w:textAlignment w:val="auto"/>
              <w:rPr>
                <w:rFonts w:hint="default" w:ascii="宋体" w:hAnsi="宋体" w:eastAsia="方正仿宋_GBK" w:cs="方正仿宋_GBK"/>
                <w:color w:val="000000"/>
                <w:kern w:val="0"/>
                <w:sz w:val="24"/>
                <w:szCs w:val="24"/>
                <w:lang w:val="en-US" w:eastAsia="zh-CN"/>
              </w:rPr>
            </w:pPr>
            <w:r>
              <w:rPr>
                <w:rFonts w:hint="eastAsia" w:ascii="宋体" w:hAnsi="宋体" w:eastAsia="方正仿宋_GBK" w:cs="方正仿宋_GBK"/>
                <w:color w:val="000000"/>
                <w:kern w:val="0"/>
                <w:sz w:val="24"/>
                <w:szCs w:val="24"/>
                <w:lang w:val="en-US" w:eastAsia="zh-CN"/>
              </w:rPr>
              <w:t>15</w:t>
            </w:r>
          </w:p>
        </w:tc>
        <w:tc>
          <w:tcPr>
            <w:tcW w:w="1094" w:type="dxa"/>
            <w:gridSpan w:val="2"/>
            <w:tcBorders>
              <w:tl2br w:val="nil"/>
              <w:tr2bl w:val="nil"/>
            </w:tcBorders>
            <w:noWrap w:val="0"/>
            <w:vAlign w:val="center"/>
          </w:tcPr>
          <w:p w14:paraId="2847B063">
            <w:pPr>
              <w:keepNext w:val="0"/>
              <w:keepLines w:val="0"/>
              <w:pageBreakBefore w:val="0"/>
              <w:widowControl/>
              <w:kinsoku/>
              <w:wordWrap/>
              <w:overflowPunct/>
              <w:topLinePunct w:val="0"/>
              <w:autoSpaceDE/>
              <w:autoSpaceDN/>
              <w:bidi w:val="0"/>
              <w:adjustRightInd/>
              <w:snapToGrid/>
              <w:spacing w:line="360" w:lineRule="exact"/>
              <w:textAlignment w:val="auto"/>
              <w:rPr>
                <w:rFonts w:hint="default" w:ascii="宋体" w:hAnsi="宋体" w:eastAsia="方正仿宋_GBK" w:cs="方正仿宋_GBK"/>
                <w:color w:val="000000"/>
                <w:kern w:val="0"/>
                <w:sz w:val="24"/>
                <w:szCs w:val="24"/>
                <w:lang w:val="en-US" w:eastAsia="zh-CN"/>
              </w:rPr>
            </w:pPr>
            <w:r>
              <w:rPr>
                <w:rFonts w:hint="eastAsia" w:ascii="宋体" w:hAnsi="宋体" w:eastAsia="方正仿宋_GBK" w:cs="方正仿宋_GBK"/>
                <w:color w:val="000000"/>
                <w:kern w:val="0"/>
                <w:sz w:val="24"/>
                <w:szCs w:val="24"/>
                <w:lang w:val="en-US" w:eastAsia="zh-CN"/>
              </w:rPr>
              <w:t>15</w:t>
            </w:r>
          </w:p>
        </w:tc>
        <w:tc>
          <w:tcPr>
            <w:tcW w:w="892" w:type="dxa"/>
            <w:tcBorders>
              <w:tl2br w:val="nil"/>
              <w:tr2bl w:val="nil"/>
            </w:tcBorders>
            <w:noWrap w:val="0"/>
            <w:vAlign w:val="center"/>
          </w:tcPr>
          <w:p w14:paraId="05284845">
            <w:pPr>
              <w:keepNext w:val="0"/>
              <w:keepLines w:val="0"/>
              <w:pageBreakBefore w:val="0"/>
              <w:widowControl/>
              <w:kinsoku/>
              <w:wordWrap/>
              <w:overflowPunct/>
              <w:topLinePunct w:val="0"/>
              <w:autoSpaceDN/>
              <w:bidi w:val="0"/>
              <w:snapToGrid/>
              <w:spacing w:line="579" w:lineRule="exact"/>
              <w:textAlignment w:val="auto"/>
              <w:rPr>
                <w:rFonts w:hint="eastAsia" w:ascii="宋体" w:hAnsi="宋体" w:eastAsia="方正仿宋_GBK" w:cs="方正仿宋_GBK"/>
                <w:color w:val="000000"/>
                <w:kern w:val="0"/>
                <w:sz w:val="24"/>
                <w:szCs w:val="24"/>
              </w:rPr>
            </w:pPr>
          </w:p>
        </w:tc>
      </w:tr>
      <w:tr w14:paraId="36C949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847" w:type="dxa"/>
            <w:vMerge w:val="continue"/>
            <w:tcBorders>
              <w:tl2br w:val="nil"/>
              <w:tr2bl w:val="nil"/>
            </w:tcBorders>
            <w:noWrap w:val="0"/>
            <w:vAlign w:val="center"/>
          </w:tcPr>
          <w:p w14:paraId="18A1FAEC">
            <w:pPr>
              <w:keepNext w:val="0"/>
              <w:keepLines w:val="0"/>
              <w:pageBreakBefore w:val="0"/>
              <w:widowControl/>
              <w:kinsoku/>
              <w:wordWrap/>
              <w:overflowPunct/>
              <w:topLinePunct w:val="0"/>
              <w:autoSpaceDN/>
              <w:bidi w:val="0"/>
              <w:snapToGrid/>
              <w:spacing w:line="579" w:lineRule="exact"/>
              <w:textAlignment w:val="auto"/>
              <w:rPr>
                <w:rFonts w:hint="eastAsia" w:ascii="宋体" w:hAnsi="宋体" w:eastAsia="方正仿宋_GBK" w:cs="方正仿宋_GBK"/>
                <w:color w:val="000000"/>
                <w:kern w:val="0"/>
                <w:sz w:val="24"/>
                <w:szCs w:val="24"/>
                <w:lang w:val="en-US" w:eastAsia="zh-CN"/>
              </w:rPr>
            </w:pPr>
          </w:p>
        </w:tc>
        <w:tc>
          <w:tcPr>
            <w:tcW w:w="1118" w:type="dxa"/>
            <w:tcBorders>
              <w:tl2br w:val="nil"/>
              <w:tr2bl w:val="nil"/>
            </w:tcBorders>
            <w:noWrap w:val="0"/>
            <w:vAlign w:val="center"/>
          </w:tcPr>
          <w:p w14:paraId="31C60D7C">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宋体" w:hAnsi="宋体" w:eastAsia="方正仿宋_GBK" w:cs="方正仿宋_GBK"/>
                <w:color w:val="000000"/>
                <w:kern w:val="0"/>
                <w:sz w:val="22"/>
                <w:szCs w:val="22"/>
              </w:rPr>
            </w:pPr>
            <w:r>
              <w:rPr>
                <w:rFonts w:hint="eastAsia" w:ascii="宋体" w:hAnsi="宋体" w:eastAsia="方正仿宋_GBK" w:cs="方正仿宋_GBK"/>
                <w:color w:val="000000"/>
                <w:kern w:val="0"/>
                <w:sz w:val="22"/>
                <w:szCs w:val="22"/>
              </w:rPr>
              <w:t>系统运行维护响应时间</w:t>
            </w:r>
          </w:p>
        </w:tc>
        <w:tc>
          <w:tcPr>
            <w:tcW w:w="774" w:type="dxa"/>
            <w:tcBorders>
              <w:tl2br w:val="nil"/>
              <w:tr2bl w:val="nil"/>
            </w:tcBorders>
            <w:noWrap w:val="0"/>
            <w:vAlign w:val="center"/>
          </w:tcPr>
          <w:p w14:paraId="0BEBB387">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小时</w:t>
            </w:r>
          </w:p>
        </w:tc>
        <w:tc>
          <w:tcPr>
            <w:tcW w:w="1013" w:type="dxa"/>
            <w:gridSpan w:val="2"/>
            <w:tcBorders>
              <w:tl2br w:val="nil"/>
              <w:tr2bl w:val="nil"/>
            </w:tcBorders>
            <w:noWrap w:val="0"/>
            <w:vAlign w:val="center"/>
          </w:tcPr>
          <w:p w14:paraId="42E86778">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w:t>
            </w:r>
          </w:p>
        </w:tc>
        <w:tc>
          <w:tcPr>
            <w:tcW w:w="751" w:type="dxa"/>
            <w:tcBorders>
              <w:tl2br w:val="nil"/>
              <w:tr2bl w:val="nil"/>
            </w:tcBorders>
            <w:noWrap w:val="0"/>
            <w:vAlign w:val="center"/>
          </w:tcPr>
          <w:p w14:paraId="4E9CD21B">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宋体" w:hAnsi="宋体" w:eastAsia="方正仿宋_GBK" w:cs="方正仿宋_GBK"/>
                <w:color w:val="000000"/>
                <w:kern w:val="0"/>
                <w:sz w:val="24"/>
                <w:szCs w:val="24"/>
                <w:lang w:val="en-US" w:eastAsia="zh-CN"/>
              </w:rPr>
            </w:pPr>
            <w:r>
              <w:rPr>
                <w:rFonts w:hint="eastAsia" w:ascii="宋体" w:hAnsi="宋体" w:eastAsia="方正仿宋_GBK" w:cs="方正仿宋_GBK"/>
                <w:color w:val="000000"/>
                <w:kern w:val="0"/>
                <w:sz w:val="24"/>
                <w:szCs w:val="24"/>
                <w:lang w:val="en-US" w:eastAsia="zh-CN"/>
              </w:rPr>
              <w:t>2</w:t>
            </w:r>
          </w:p>
        </w:tc>
        <w:tc>
          <w:tcPr>
            <w:tcW w:w="877" w:type="dxa"/>
            <w:gridSpan w:val="2"/>
            <w:tcBorders>
              <w:tl2br w:val="nil"/>
              <w:tr2bl w:val="nil"/>
            </w:tcBorders>
            <w:noWrap w:val="0"/>
            <w:vAlign w:val="center"/>
          </w:tcPr>
          <w:p w14:paraId="4A19AD20">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宋体" w:hAnsi="宋体" w:eastAsia="方正仿宋_GBK" w:cs="方正仿宋_GBK"/>
                <w:color w:val="000000"/>
                <w:kern w:val="0"/>
                <w:sz w:val="24"/>
                <w:szCs w:val="24"/>
                <w:lang w:val="en-US" w:eastAsia="zh-CN"/>
              </w:rPr>
            </w:pPr>
            <w:r>
              <w:rPr>
                <w:rFonts w:hint="eastAsia" w:ascii="宋体" w:hAnsi="宋体" w:eastAsia="方正仿宋_GBK" w:cs="方正仿宋_GBK"/>
                <w:color w:val="000000"/>
                <w:kern w:val="0"/>
                <w:sz w:val="24"/>
                <w:szCs w:val="24"/>
                <w:lang w:val="en-US" w:eastAsia="zh-CN"/>
              </w:rPr>
              <w:t>2</w:t>
            </w:r>
          </w:p>
        </w:tc>
        <w:tc>
          <w:tcPr>
            <w:tcW w:w="910" w:type="dxa"/>
            <w:tcBorders>
              <w:tl2br w:val="nil"/>
              <w:tr2bl w:val="nil"/>
            </w:tcBorders>
            <w:noWrap w:val="0"/>
            <w:vAlign w:val="center"/>
          </w:tcPr>
          <w:p w14:paraId="2A8A842F">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宋体" w:hAnsi="宋体" w:eastAsia="方正仿宋_GBK" w:cs="方正仿宋_GBK"/>
                <w:color w:val="000000"/>
                <w:kern w:val="0"/>
                <w:sz w:val="24"/>
                <w:szCs w:val="24"/>
                <w:lang w:val="en-US" w:eastAsia="zh-CN"/>
              </w:rPr>
            </w:pPr>
            <w:r>
              <w:rPr>
                <w:rFonts w:hint="eastAsia" w:ascii="宋体" w:hAnsi="宋体" w:eastAsia="方正仿宋_GBK" w:cs="方正仿宋_GBK"/>
                <w:color w:val="000000"/>
                <w:kern w:val="0"/>
                <w:sz w:val="24"/>
                <w:szCs w:val="24"/>
                <w:lang w:val="en-US" w:eastAsia="zh-CN"/>
              </w:rPr>
              <w:t>0</w:t>
            </w:r>
          </w:p>
        </w:tc>
        <w:tc>
          <w:tcPr>
            <w:tcW w:w="888" w:type="dxa"/>
            <w:tcBorders>
              <w:tl2br w:val="nil"/>
              <w:tr2bl w:val="nil"/>
            </w:tcBorders>
            <w:noWrap w:val="0"/>
            <w:vAlign w:val="center"/>
          </w:tcPr>
          <w:p w14:paraId="3F6A9219">
            <w:pPr>
              <w:keepNext w:val="0"/>
              <w:keepLines w:val="0"/>
              <w:pageBreakBefore w:val="0"/>
              <w:widowControl/>
              <w:kinsoku/>
              <w:wordWrap/>
              <w:overflowPunct/>
              <w:topLinePunct w:val="0"/>
              <w:autoSpaceDE/>
              <w:autoSpaceDN/>
              <w:bidi w:val="0"/>
              <w:adjustRightInd/>
              <w:snapToGrid/>
              <w:spacing w:line="360" w:lineRule="exact"/>
              <w:textAlignment w:val="auto"/>
              <w:rPr>
                <w:rFonts w:hint="default" w:ascii="宋体" w:hAnsi="宋体" w:eastAsia="方正仿宋_GBK" w:cs="方正仿宋_GBK"/>
                <w:color w:val="000000"/>
                <w:kern w:val="0"/>
                <w:sz w:val="24"/>
                <w:szCs w:val="24"/>
                <w:lang w:val="en-US" w:eastAsia="zh-CN"/>
              </w:rPr>
            </w:pPr>
            <w:r>
              <w:rPr>
                <w:rFonts w:hint="eastAsia" w:ascii="宋体" w:hAnsi="宋体" w:eastAsia="方正仿宋_GBK" w:cs="方正仿宋_GBK"/>
                <w:color w:val="000000"/>
                <w:kern w:val="0"/>
                <w:sz w:val="24"/>
                <w:szCs w:val="24"/>
                <w:lang w:val="en-US" w:eastAsia="zh-CN"/>
              </w:rPr>
              <w:t>100</w:t>
            </w:r>
          </w:p>
        </w:tc>
        <w:tc>
          <w:tcPr>
            <w:tcW w:w="968" w:type="dxa"/>
            <w:tcBorders>
              <w:tl2br w:val="nil"/>
              <w:tr2bl w:val="nil"/>
            </w:tcBorders>
            <w:noWrap w:val="0"/>
            <w:vAlign w:val="center"/>
          </w:tcPr>
          <w:p w14:paraId="378B04E6">
            <w:pPr>
              <w:keepNext w:val="0"/>
              <w:keepLines w:val="0"/>
              <w:pageBreakBefore w:val="0"/>
              <w:widowControl/>
              <w:kinsoku/>
              <w:wordWrap/>
              <w:overflowPunct/>
              <w:topLinePunct w:val="0"/>
              <w:autoSpaceDE/>
              <w:autoSpaceDN/>
              <w:bidi w:val="0"/>
              <w:adjustRightInd/>
              <w:snapToGrid/>
              <w:spacing w:line="360" w:lineRule="exact"/>
              <w:textAlignment w:val="auto"/>
              <w:rPr>
                <w:rFonts w:hint="default" w:ascii="宋体" w:hAnsi="宋体" w:eastAsia="方正仿宋_GBK" w:cs="方正仿宋_GBK"/>
                <w:color w:val="000000"/>
                <w:kern w:val="0"/>
                <w:sz w:val="24"/>
                <w:szCs w:val="24"/>
                <w:lang w:val="en-US" w:eastAsia="zh-CN"/>
              </w:rPr>
            </w:pPr>
            <w:r>
              <w:rPr>
                <w:rFonts w:hint="eastAsia" w:ascii="宋体" w:hAnsi="宋体" w:eastAsia="方正仿宋_GBK" w:cs="方正仿宋_GBK"/>
                <w:color w:val="000000"/>
                <w:kern w:val="0"/>
                <w:sz w:val="24"/>
                <w:szCs w:val="24"/>
                <w:lang w:val="en-US" w:eastAsia="zh-CN"/>
              </w:rPr>
              <w:t>15</w:t>
            </w:r>
          </w:p>
        </w:tc>
        <w:tc>
          <w:tcPr>
            <w:tcW w:w="1094" w:type="dxa"/>
            <w:gridSpan w:val="2"/>
            <w:tcBorders>
              <w:tl2br w:val="nil"/>
              <w:tr2bl w:val="nil"/>
            </w:tcBorders>
            <w:noWrap w:val="0"/>
            <w:vAlign w:val="center"/>
          </w:tcPr>
          <w:p w14:paraId="501FCDF8">
            <w:pPr>
              <w:keepNext w:val="0"/>
              <w:keepLines w:val="0"/>
              <w:pageBreakBefore w:val="0"/>
              <w:widowControl/>
              <w:kinsoku/>
              <w:wordWrap/>
              <w:overflowPunct/>
              <w:topLinePunct w:val="0"/>
              <w:autoSpaceDE/>
              <w:autoSpaceDN/>
              <w:bidi w:val="0"/>
              <w:adjustRightInd/>
              <w:snapToGrid/>
              <w:spacing w:line="360" w:lineRule="exact"/>
              <w:textAlignment w:val="auto"/>
              <w:rPr>
                <w:rFonts w:hint="default" w:ascii="宋体" w:hAnsi="宋体" w:eastAsia="方正仿宋_GBK" w:cs="方正仿宋_GBK"/>
                <w:color w:val="000000"/>
                <w:kern w:val="0"/>
                <w:sz w:val="24"/>
                <w:szCs w:val="24"/>
                <w:lang w:val="en-US" w:eastAsia="zh-CN"/>
              </w:rPr>
            </w:pPr>
            <w:r>
              <w:rPr>
                <w:rFonts w:hint="eastAsia" w:ascii="宋体" w:hAnsi="宋体" w:eastAsia="方正仿宋_GBK" w:cs="方正仿宋_GBK"/>
                <w:color w:val="000000"/>
                <w:kern w:val="0"/>
                <w:sz w:val="24"/>
                <w:szCs w:val="24"/>
                <w:lang w:val="en-US" w:eastAsia="zh-CN"/>
              </w:rPr>
              <w:t>15</w:t>
            </w:r>
          </w:p>
        </w:tc>
        <w:tc>
          <w:tcPr>
            <w:tcW w:w="892" w:type="dxa"/>
            <w:tcBorders>
              <w:tl2br w:val="nil"/>
              <w:tr2bl w:val="nil"/>
            </w:tcBorders>
            <w:noWrap w:val="0"/>
            <w:vAlign w:val="center"/>
          </w:tcPr>
          <w:p w14:paraId="25EFDD94">
            <w:pPr>
              <w:keepNext w:val="0"/>
              <w:keepLines w:val="0"/>
              <w:pageBreakBefore w:val="0"/>
              <w:widowControl/>
              <w:kinsoku/>
              <w:wordWrap/>
              <w:overflowPunct/>
              <w:topLinePunct w:val="0"/>
              <w:autoSpaceDN/>
              <w:bidi w:val="0"/>
              <w:snapToGrid/>
              <w:spacing w:line="579" w:lineRule="exact"/>
              <w:textAlignment w:val="auto"/>
              <w:rPr>
                <w:rFonts w:hint="eastAsia" w:ascii="宋体" w:hAnsi="宋体" w:eastAsia="方正仿宋_GBK" w:cs="方正仿宋_GBK"/>
                <w:color w:val="000000"/>
                <w:kern w:val="0"/>
                <w:sz w:val="24"/>
                <w:szCs w:val="24"/>
              </w:rPr>
            </w:pPr>
          </w:p>
        </w:tc>
      </w:tr>
      <w:tr w14:paraId="5C8B8F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847" w:type="dxa"/>
            <w:vMerge w:val="continue"/>
            <w:tcBorders>
              <w:tl2br w:val="nil"/>
              <w:tr2bl w:val="nil"/>
            </w:tcBorders>
            <w:noWrap w:val="0"/>
            <w:vAlign w:val="center"/>
          </w:tcPr>
          <w:p w14:paraId="356DE93D">
            <w:pPr>
              <w:keepNext w:val="0"/>
              <w:keepLines w:val="0"/>
              <w:pageBreakBefore w:val="0"/>
              <w:widowControl/>
              <w:kinsoku/>
              <w:wordWrap/>
              <w:overflowPunct/>
              <w:topLinePunct w:val="0"/>
              <w:autoSpaceDN/>
              <w:bidi w:val="0"/>
              <w:snapToGrid/>
              <w:spacing w:line="579" w:lineRule="exact"/>
              <w:textAlignment w:val="auto"/>
              <w:rPr>
                <w:rFonts w:hint="eastAsia" w:ascii="宋体" w:hAnsi="宋体" w:eastAsia="方正仿宋_GBK" w:cs="方正仿宋_GBK"/>
                <w:color w:val="000000"/>
                <w:kern w:val="0"/>
                <w:sz w:val="24"/>
                <w:szCs w:val="24"/>
              </w:rPr>
            </w:pPr>
          </w:p>
        </w:tc>
        <w:tc>
          <w:tcPr>
            <w:tcW w:w="1118" w:type="dxa"/>
            <w:tcBorders>
              <w:tl2br w:val="nil"/>
              <w:tr2bl w:val="nil"/>
            </w:tcBorders>
            <w:noWrap w:val="0"/>
            <w:vAlign w:val="center"/>
          </w:tcPr>
          <w:p w14:paraId="6E5D7B14">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宋体" w:hAnsi="宋体" w:eastAsia="方正仿宋_GBK" w:cs="方正仿宋_GBK"/>
                <w:color w:val="000000"/>
                <w:kern w:val="0"/>
                <w:sz w:val="22"/>
                <w:szCs w:val="22"/>
              </w:rPr>
            </w:pPr>
            <w:r>
              <w:rPr>
                <w:rFonts w:hint="eastAsia" w:ascii="宋体" w:hAnsi="宋体" w:eastAsia="方正仿宋_GBK" w:cs="方正仿宋_GBK"/>
                <w:color w:val="000000"/>
                <w:kern w:val="0"/>
                <w:sz w:val="22"/>
                <w:szCs w:val="22"/>
              </w:rPr>
              <w:t>宣传政策知晓率</w:t>
            </w:r>
          </w:p>
        </w:tc>
        <w:tc>
          <w:tcPr>
            <w:tcW w:w="774" w:type="dxa"/>
            <w:tcBorders>
              <w:tl2br w:val="nil"/>
              <w:tr2bl w:val="nil"/>
            </w:tcBorders>
            <w:noWrap w:val="0"/>
            <w:vAlign w:val="center"/>
          </w:tcPr>
          <w:p w14:paraId="17015F84">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w:t>
            </w:r>
          </w:p>
        </w:tc>
        <w:tc>
          <w:tcPr>
            <w:tcW w:w="1013" w:type="dxa"/>
            <w:gridSpan w:val="2"/>
            <w:tcBorders>
              <w:tl2br w:val="nil"/>
              <w:tr2bl w:val="nil"/>
            </w:tcBorders>
            <w:noWrap w:val="0"/>
            <w:vAlign w:val="center"/>
          </w:tcPr>
          <w:p w14:paraId="4571F9FD">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w:t>
            </w:r>
          </w:p>
        </w:tc>
        <w:tc>
          <w:tcPr>
            <w:tcW w:w="751" w:type="dxa"/>
            <w:tcBorders>
              <w:tl2br w:val="nil"/>
              <w:tr2bl w:val="nil"/>
            </w:tcBorders>
            <w:noWrap w:val="0"/>
            <w:vAlign w:val="center"/>
          </w:tcPr>
          <w:p w14:paraId="61F895C3">
            <w:pPr>
              <w:keepNext w:val="0"/>
              <w:keepLines w:val="0"/>
              <w:pageBreakBefore w:val="0"/>
              <w:widowControl/>
              <w:kinsoku/>
              <w:wordWrap/>
              <w:overflowPunct/>
              <w:topLinePunct w:val="0"/>
              <w:autoSpaceDE/>
              <w:autoSpaceDN/>
              <w:bidi w:val="0"/>
              <w:adjustRightInd/>
              <w:snapToGrid/>
              <w:spacing w:line="360" w:lineRule="exact"/>
              <w:textAlignment w:val="auto"/>
              <w:rPr>
                <w:rFonts w:hint="default" w:ascii="宋体" w:hAnsi="宋体" w:eastAsia="方正仿宋_GBK" w:cs="方正仿宋_GBK"/>
                <w:color w:val="000000"/>
                <w:kern w:val="0"/>
                <w:sz w:val="24"/>
                <w:szCs w:val="24"/>
                <w:lang w:val="en-US" w:eastAsia="zh-CN"/>
              </w:rPr>
            </w:pPr>
            <w:r>
              <w:rPr>
                <w:rFonts w:hint="eastAsia" w:ascii="宋体" w:hAnsi="宋体" w:eastAsia="方正仿宋_GBK" w:cs="方正仿宋_GBK"/>
                <w:color w:val="000000"/>
                <w:kern w:val="0"/>
                <w:sz w:val="24"/>
                <w:szCs w:val="24"/>
                <w:lang w:val="en-US" w:eastAsia="zh-CN"/>
              </w:rPr>
              <w:t>80</w:t>
            </w:r>
          </w:p>
        </w:tc>
        <w:tc>
          <w:tcPr>
            <w:tcW w:w="877" w:type="dxa"/>
            <w:gridSpan w:val="2"/>
            <w:tcBorders>
              <w:tl2br w:val="nil"/>
              <w:tr2bl w:val="nil"/>
            </w:tcBorders>
            <w:noWrap w:val="0"/>
            <w:vAlign w:val="center"/>
          </w:tcPr>
          <w:p w14:paraId="5A306073">
            <w:pPr>
              <w:keepNext w:val="0"/>
              <w:keepLines w:val="0"/>
              <w:pageBreakBefore w:val="0"/>
              <w:widowControl/>
              <w:kinsoku/>
              <w:wordWrap/>
              <w:overflowPunct/>
              <w:topLinePunct w:val="0"/>
              <w:autoSpaceDE/>
              <w:autoSpaceDN/>
              <w:bidi w:val="0"/>
              <w:adjustRightInd/>
              <w:snapToGrid/>
              <w:spacing w:line="360" w:lineRule="exact"/>
              <w:textAlignment w:val="auto"/>
              <w:rPr>
                <w:rFonts w:hint="default" w:ascii="宋体" w:hAnsi="宋体" w:eastAsia="方正仿宋_GBK" w:cs="方正仿宋_GBK"/>
                <w:color w:val="000000"/>
                <w:kern w:val="0"/>
                <w:sz w:val="24"/>
                <w:szCs w:val="24"/>
                <w:lang w:val="en-US" w:eastAsia="zh-CN"/>
              </w:rPr>
            </w:pPr>
            <w:r>
              <w:rPr>
                <w:rFonts w:hint="eastAsia" w:ascii="宋体" w:hAnsi="宋体" w:eastAsia="方正仿宋_GBK" w:cs="方正仿宋_GBK"/>
                <w:color w:val="000000"/>
                <w:kern w:val="0"/>
                <w:sz w:val="24"/>
                <w:szCs w:val="24"/>
                <w:lang w:val="en-US" w:eastAsia="zh-CN"/>
              </w:rPr>
              <w:t>90</w:t>
            </w:r>
          </w:p>
        </w:tc>
        <w:tc>
          <w:tcPr>
            <w:tcW w:w="910" w:type="dxa"/>
            <w:tcBorders>
              <w:tl2br w:val="nil"/>
              <w:tr2bl w:val="nil"/>
            </w:tcBorders>
            <w:noWrap w:val="0"/>
            <w:vAlign w:val="center"/>
          </w:tcPr>
          <w:p w14:paraId="6632BE6E">
            <w:pPr>
              <w:keepNext w:val="0"/>
              <w:keepLines w:val="0"/>
              <w:pageBreakBefore w:val="0"/>
              <w:widowControl/>
              <w:kinsoku/>
              <w:wordWrap/>
              <w:overflowPunct/>
              <w:topLinePunct w:val="0"/>
              <w:autoSpaceDE/>
              <w:autoSpaceDN/>
              <w:bidi w:val="0"/>
              <w:adjustRightInd/>
              <w:snapToGrid/>
              <w:spacing w:line="360" w:lineRule="exact"/>
              <w:textAlignment w:val="auto"/>
              <w:rPr>
                <w:rFonts w:hint="default" w:ascii="宋体" w:hAnsi="宋体" w:eastAsia="方正仿宋_GBK" w:cs="方正仿宋_GBK"/>
                <w:color w:val="000000"/>
                <w:kern w:val="0"/>
                <w:sz w:val="24"/>
                <w:szCs w:val="24"/>
                <w:lang w:val="en-US" w:eastAsia="zh-CN"/>
              </w:rPr>
            </w:pPr>
            <w:r>
              <w:rPr>
                <w:rFonts w:hint="eastAsia" w:ascii="宋体" w:hAnsi="宋体" w:eastAsia="方正仿宋_GBK" w:cs="方正仿宋_GBK"/>
                <w:color w:val="000000"/>
                <w:kern w:val="0"/>
                <w:sz w:val="24"/>
                <w:szCs w:val="24"/>
                <w:lang w:val="en-US" w:eastAsia="zh-CN"/>
              </w:rPr>
              <w:t>12.5</w:t>
            </w:r>
          </w:p>
        </w:tc>
        <w:tc>
          <w:tcPr>
            <w:tcW w:w="888" w:type="dxa"/>
            <w:tcBorders>
              <w:tl2br w:val="nil"/>
              <w:tr2bl w:val="nil"/>
            </w:tcBorders>
            <w:noWrap w:val="0"/>
            <w:vAlign w:val="center"/>
          </w:tcPr>
          <w:p w14:paraId="66F2B965">
            <w:pPr>
              <w:keepNext w:val="0"/>
              <w:keepLines w:val="0"/>
              <w:pageBreakBefore w:val="0"/>
              <w:widowControl/>
              <w:kinsoku/>
              <w:wordWrap/>
              <w:overflowPunct/>
              <w:topLinePunct w:val="0"/>
              <w:autoSpaceDE/>
              <w:autoSpaceDN/>
              <w:bidi w:val="0"/>
              <w:adjustRightInd/>
              <w:snapToGrid/>
              <w:spacing w:line="360" w:lineRule="exact"/>
              <w:textAlignment w:val="auto"/>
              <w:rPr>
                <w:rFonts w:hint="default" w:ascii="宋体" w:hAnsi="宋体" w:eastAsia="方正仿宋_GBK" w:cs="方正仿宋_GBK"/>
                <w:color w:val="000000"/>
                <w:kern w:val="0"/>
                <w:sz w:val="24"/>
                <w:szCs w:val="24"/>
                <w:lang w:val="en-US" w:eastAsia="zh-CN"/>
              </w:rPr>
            </w:pPr>
            <w:r>
              <w:rPr>
                <w:rFonts w:hint="eastAsia" w:ascii="宋体" w:hAnsi="宋体" w:eastAsia="方正仿宋_GBK" w:cs="方正仿宋_GBK"/>
                <w:color w:val="000000"/>
                <w:kern w:val="0"/>
                <w:sz w:val="24"/>
                <w:szCs w:val="24"/>
                <w:lang w:val="en-US" w:eastAsia="zh-CN"/>
              </w:rPr>
              <w:t>100</w:t>
            </w:r>
          </w:p>
        </w:tc>
        <w:tc>
          <w:tcPr>
            <w:tcW w:w="968" w:type="dxa"/>
            <w:tcBorders>
              <w:tl2br w:val="nil"/>
              <w:tr2bl w:val="nil"/>
            </w:tcBorders>
            <w:noWrap w:val="0"/>
            <w:vAlign w:val="center"/>
          </w:tcPr>
          <w:p w14:paraId="231314D7">
            <w:pPr>
              <w:keepNext w:val="0"/>
              <w:keepLines w:val="0"/>
              <w:pageBreakBefore w:val="0"/>
              <w:widowControl/>
              <w:kinsoku/>
              <w:wordWrap/>
              <w:overflowPunct/>
              <w:topLinePunct w:val="0"/>
              <w:autoSpaceDE/>
              <w:autoSpaceDN/>
              <w:bidi w:val="0"/>
              <w:adjustRightInd/>
              <w:snapToGrid/>
              <w:spacing w:line="360" w:lineRule="exact"/>
              <w:textAlignment w:val="auto"/>
              <w:rPr>
                <w:rFonts w:hint="default" w:ascii="宋体" w:hAnsi="宋体" w:eastAsia="方正仿宋_GBK" w:cs="方正仿宋_GBK"/>
                <w:color w:val="000000"/>
                <w:kern w:val="0"/>
                <w:sz w:val="24"/>
                <w:szCs w:val="24"/>
                <w:lang w:val="en-US" w:eastAsia="zh-CN"/>
              </w:rPr>
            </w:pPr>
            <w:r>
              <w:rPr>
                <w:rFonts w:hint="eastAsia" w:ascii="宋体" w:hAnsi="宋体" w:eastAsia="方正仿宋_GBK" w:cs="方正仿宋_GBK"/>
                <w:color w:val="000000"/>
                <w:kern w:val="0"/>
                <w:sz w:val="24"/>
                <w:szCs w:val="24"/>
                <w:lang w:val="en-US" w:eastAsia="zh-CN"/>
              </w:rPr>
              <w:t>20</w:t>
            </w:r>
          </w:p>
        </w:tc>
        <w:tc>
          <w:tcPr>
            <w:tcW w:w="1094" w:type="dxa"/>
            <w:gridSpan w:val="2"/>
            <w:tcBorders>
              <w:tl2br w:val="nil"/>
              <w:tr2bl w:val="nil"/>
            </w:tcBorders>
            <w:noWrap w:val="0"/>
            <w:vAlign w:val="center"/>
          </w:tcPr>
          <w:p w14:paraId="588747D6">
            <w:pPr>
              <w:keepNext w:val="0"/>
              <w:keepLines w:val="0"/>
              <w:pageBreakBefore w:val="0"/>
              <w:widowControl/>
              <w:kinsoku/>
              <w:wordWrap/>
              <w:overflowPunct/>
              <w:topLinePunct w:val="0"/>
              <w:autoSpaceDE/>
              <w:autoSpaceDN/>
              <w:bidi w:val="0"/>
              <w:adjustRightInd/>
              <w:snapToGrid/>
              <w:spacing w:line="360" w:lineRule="exact"/>
              <w:textAlignment w:val="auto"/>
              <w:rPr>
                <w:rFonts w:hint="default" w:ascii="宋体" w:hAnsi="宋体" w:eastAsia="方正仿宋_GBK" w:cs="方正仿宋_GBK"/>
                <w:color w:val="000000"/>
                <w:kern w:val="0"/>
                <w:sz w:val="24"/>
                <w:szCs w:val="24"/>
                <w:lang w:val="en-US" w:eastAsia="zh-CN"/>
              </w:rPr>
            </w:pPr>
            <w:r>
              <w:rPr>
                <w:rFonts w:hint="eastAsia" w:ascii="宋体" w:hAnsi="宋体" w:eastAsia="方正仿宋_GBK" w:cs="方正仿宋_GBK"/>
                <w:color w:val="000000"/>
                <w:kern w:val="0"/>
                <w:sz w:val="24"/>
                <w:szCs w:val="24"/>
                <w:lang w:val="en-US" w:eastAsia="zh-CN"/>
              </w:rPr>
              <w:t>20</w:t>
            </w:r>
          </w:p>
        </w:tc>
        <w:tc>
          <w:tcPr>
            <w:tcW w:w="892" w:type="dxa"/>
            <w:tcBorders>
              <w:tl2br w:val="nil"/>
              <w:tr2bl w:val="nil"/>
            </w:tcBorders>
            <w:noWrap w:val="0"/>
            <w:vAlign w:val="center"/>
          </w:tcPr>
          <w:p w14:paraId="593CE435">
            <w:pPr>
              <w:keepNext w:val="0"/>
              <w:keepLines w:val="0"/>
              <w:pageBreakBefore w:val="0"/>
              <w:widowControl/>
              <w:kinsoku/>
              <w:wordWrap/>
              <w:overflowPunct/>
              <w:topLinePunct w:val="0"/>
              <w:autoSpaceDN/>
              <w:bidi w:val="0"/>
              <w:snapToGrid/>
              <w:spacing w:line="579" w:lineRule="exact"/>
              <w:textAlignment w:val="auto"/>
              <w:rPr>
                <w:rFonts w:hint="eastAsia" w:ascii="宋体" w:hAnsi="宋体" w:eastAsia="方正仿宋_GBK" w:cs="方正仿宋_GBK"/>
                <w:color w:val="000000"/>
                <w:kern w:val="0"/>
                <w:sz w:val="24"/>
                <w:szCs w:val="24"/>
              </w:rPr>
            </w:pPr>
          </w:p>
        </w:tc>
      </w:tr>
      <w:tr w14:paraId="540D82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847" w:type="dxa"/>
            <w:vMerge w:val="continue"/>
            <w:tcBorders>
              <w:tl2br w:val="nil"/>
              <w:tr2bl w:val="nil"/>
            </w:tcBorders>
            <w:noWrap w:val="0"/>
            <w:vAlign w:val="center"/>
          </w:tcPr>
          <w:p w14:paraId="0A93F7C1">
            <w:pPr>
              <w:keepNext w:val="0"/>
              <w:keepLines w:val="0"/>
              <w:pageBreakBefore w:val="0"/>
              <w:widowControl/>
              <w:kinsoku/>
              <w:wordWrap/>
              <w:overflowPunct/>
              <w:topLinePunct w:val="0"/>
              <w:autoSpaceDN/>
              <w:bidi w:val="0"/>
              <w:snapToGrid/>
              <w:spacing w:line="579" w:lineRule="exact"/>
              <w:textAlignment w:val="auto"/>
              <w:rPr>
                <w:rFonts w:hint="eastAsia" w:ascii="宋体" w:hAnsi="宋体" w:eastAsia="方正仿宋_GBK" w:cs="方正仿宋_GBK"/>
                <w:color w:val="000000"/>
                <w:kern w:val="0"/>
                <w:sz w:val="24"/>
                <w:szCs w:val="24"/>
              </w:rPr>
            </w:pPr>
          </w:p>
        </w:tc>
        <w:tc>
          <w:tcPr>
            <w:tcW w:w="1118" w:type="dxa"/>
            <w:tcBorders>
              <w:tl2br w:val="nil"/>
              <w:tr2bl w:val="nil"/>
            </w:tcBorders>
            <w:noWrap w:val="0"/>
            <w:vAlign w:val="center"/>
          </w:tcPr>
          <w:p w14:paraId="7B7957D5">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宋体" w:hAnsi="宋体" w:eastAsia="方正仿宋_GBK" w:cs="方正仿宋_GBK"/>
                <w:color w:val="000000"/>
                <w:kern w:val="0"/>
                <w:sz w:val="22"/>
                <w:szCs w:val="22"/>
              </w:rPr>
            </w:pPr>
            <w:r>
              <w:rPr>
                <w:rFonts w:hint="eastAsia" w:ascii="宋体" w:hAnsi="宋体" w:eastAsia="方正仿宋_GBK" w:cs="方正仿宋_GBK"/>
                <w:color w:val="000000"/>
                <w:kern w:val="0"/>
                <w:sz w:val="22"/>
                <w:szCs w:val="22"/>
              </w:rPr>
              <w:t>用户满意度</w:t>
            </w:r>
          </w:p>
        </w:tc>
        <w:tc>
          <w:tcPr>
            <w:tcW w:w="774" w:type="dxa"/>
            <w:tcBorders>
              <w:tl2br w:val="nil"/>
              <w:tr2bl w:val="nil"/>
            </w:tcBorders>
            <w:noWrap w:val="0"/>
            <w:vAlign w:val="center"/>
          </w:tcPr>
          <w:p w14:paraId="2C6C7CAF">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w:t>
            </w:r>
          </w:p>
        </w:tc>
        <w:tc>
          <w:tcPr>
            <w:tcW w:w="1013" w:type="dxa"/>
            <w:gridSpan w:val="2"/>
            <w:tcBorders>
              <w:tl2br w:val="nil"/>
              <w:tr2bl w:val="nil"/>
            </w:tcBorders>
            <w:noWrap w:val="0"/>
            <w:vAlign w:val="center"/>
          </w:tcPr>
          <w:p w14:paraId="7790001B">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w:t>
            </w:r>
          </w:p>
        </w:tc>
        <w:tc>
          <w:tcPr>
            <w:tcW w:w="751" w:type="dxa"/>
            <w:tcBorders>
              <w:tl2br w:val="nil"/>
              <w:tr2bl w:val="nil"/>
            </w:tcBorders>
            <w:noWrap w:val="0"/>
            <w:vAlign w:val="center"/>
          </w:tcPr>
          <w:p w14:paraId="5416D0E0">
            <w:pPr>
              <w:keepNext w:val="0"/>
              <w:keepLines w:val="0"/>
              <w:pageBreakBefore w:val="0"/>
              <w:widowControl/>
              <w:kinsoku/>
              <w:wordWrap/>
              <w:overflowPunct/>
              <w:topLinePunct w:val="0"/>
              <w:autoSpaceDE/>
              <w:autoSpaceDN/>
              <w:bidi w:val="0"/>
              <w:adjustRightInd/>
              <w:snapToGrid/>
              <w:spacing w:line="360" w:lineRule="exact"/>
              <w:textAlignment w:val="auto"/>
              <w:rPr>
                <w:rFonts w:hint="default" w:ascii="宋体" w:hAnsi="宋体" w:eastAsia="方正仿宋_GBK" w:cs="方正仿宋_GBK"/>
                <w:color w:val="000000"/>
                <w:kern w:val="0"/>
                <w:sz w:val="24"/>
                <w:szCs w:val="24"/>
                <w:lang w:val="en-US" w:eastAsia="zh-CN"/>
              </w:rPr>
            </w:pPr>
            <w:r>
              <w:rPr>
                <w:rFonts w:hint="eastAsia" w:ascii="宋体" w:hAnsi="宋体" w:eastAsia="方正仿宋_GBK" w:cs="方正仿宋_GBK"/>
                <w:color w:val="000000"/>
                <w:kern w:val="0"/>
                <w:sz w:val="24"/>
                <w:szCs w:val="24"/>
                <w:lang w:val="en-US" w:eastAsia="zh-CN"/>
              </w:rPr>
              <w:t>90</w:t>
            </w:r>
          </w:p>
        </w:tc>
        <w:tc>
          <w:tcPr>
            <w:tcW w:w="877" w:type="dxa"/>
            <w:gridSpan w:val="2"/>
            <w:tcBorders>
              <w:tl2br w:val="nil"/>
              <w:tr2bl w:val="nil"/>
            </w:tcBorders>
            <w:noWrap w:val="0"/>
            <w:vAlign w:val="center"/>
          </w:tcPr>
          <w:p w14:paraId="2A83C34A">
            <w:pPr>
              <w:keepNext w:val="0"/>
              <w:keepLines w:val="0"/>
              <w:pageBreakBefore w:val="0"/>
              <w:widowControl/>
              <w:kinsoku/>
              <w:wordWrap/>
              <w:overflowPunct/>
              <w:topLinePunct w:val="0"/>
              <w:autoSpaceDE/>
              <w:autoSpaceDN/>
              <w:bidi w:val="0"/>
              <w:adjustRightInd/>
              <w:snapToGrid/>
              <w:spacing w:line="360" w:lineRule="exact"/>
              <w:textAlignment w:val="auto"/>
              <w:rPr>
                <w:rFonts w:hint="default" w:ascii="宋体" w:hAnsi="宋体" w:eastAsia="方正仿宋_GBK" w:cs="方正仿宋_GBK"/>
                <w:color w:val="000000"/>
                <w:kern w:val="0"/>
                <w:sz w:val="24"/>
                <w:szCs w:val="24"/>
                <w:lang w:val="en-US" w:eastAsia="zh-CN"/>
              </w:rPr>
            </w:pPr>
            <w:r>
              <w:rPr>
                <w:rFonts w:hint="eastAsia" w:ascii="宋体" w:hAnsi="宋体" w:eastAsia="方正仿宋_GBK" w:cs="方正仿宋_GBK"/>
                <w:color w:val="000000"/>
                <w:kern w:val="0"/>
                <w:sz w:val="24"/>
                <w:szCs w:val="24"/>
                <w:lang w:val="en-US" w:eastAsia="zh-CN"/>
              </w:rPr>
              <w:t>90</w:t>
            </w:r>
          </w:p>
        </w:tc>
        <w:tc>
          <w:tcPr>
            <w:tcW w:w="910" w:type="dxa"/>
            <w:tcBorders>
              <w:tl2br w:val="nil"/>
              <w:tr2bl w:val="nil"/>
            </w:tcBorders>
            <w:noWrap w:val="0"/>
            <w:vAlign w:val="center"/>
          </w:tcPr>
          <w:p w14:paraId="53BFAE8A">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宋体" w:hAnsi="宋体" w:eastAsia="方正仿宋_GBK" w:cs="方正仿宋_GBK"/>
                <w:color w:val="000000"/>
                <w:kern w:val="0"/>
                <w:sz w:val="24"/>
                <w:szCs w:val="24"/>
                <w:lang w:val="en-US" w:eastAsia="zh-CN"/>
              </w:rPr>
            </w:pPr>
            <w:r>
              <w:rPr>
                <w:rFonts w:hint="eastAsia" w:ascii="宋体" w:hAnsi="宋体" w:eastAsia="方正仿宋_GBK" w:cs="方正仿宋_GBK"/>
                <w:color w:val="000000"/>
                <w:kern w:val="0"/>
                <w:sz w:val="24"/>
                <w:szCs w:val="24"/>
                <w:lang w:val="en-US" w:eastAsia="zh-CN"/>
              </w:rPr>
              <w:t>0</w:t>
            </w:r>
          </w:p>
        </w:tc>
        <w:tc>
          <w:tcPr>
            <w:tcW w:w="888" w:type="dxa"/>
            <w:tcBorders>
              <w:tl2br w:val="nil"/>
              <w:tr2bl w:val="nil"/>
            </w:tcBorders>
            <w:noWrap w:val="0"/>
            <w:vAlign w:val="center"/>
          </w:tcPr>
          <w:p w14:paraId="57AD8FCD">
            <w:pPr>
              <w:keepNext w:val="0"/>
              <w:keepLines w:val="0"/>
              <w:pageBreakBefore w:val="0"/>
              <w:widowControl/>
              <w:kinsoku/>
              <w:wordWrap/>
              <w:overflowPunct/>
              <w:topLinePunct w:val="0"/>
              <w:autoSpaceDE/>
              <w:autoSpaceDN/>
              <w:bidi w:val="0"/>
              <w:adjustRightInd/>
              <w:snapToGrid/>
              <w:spacing w:line="360" w:lineRule="exact"/>
              <w:textAlignment w:val="auto"/>
              <w:rPr>
                <w:rFonts w:hint="default" w:ascii="宋体" w:hAnsi="宋体" w:eastAsia="方正仿宋_GBK" w:cs="方正仿宋_GBK"/>
                <w:color w:val="000000"/>
                <w:kern w:val="0"/>
                <w:sz w:val="24"/>
                <w:szCs w:val="24"/>
                <w:lang w:val="en-US" w:eastAsia="zh-CN"/>
              </w:rPr>
            </w:pPr>
            <w:r>
              <w:rPr>
                <w:rFonts w:hint="eastAsia" w:ascii="宋体" w:hAnsi="宋体" w:eastAsia="方正仿宋_GBK" w:cs="方正仿宋_GBK"/>
                <w:color w:val="000000"/>
                <w:kern w:val="0"/>
                <w:sz w:val="24"/>
                <w:szCs w:val="24"/>
                <w:lang w:val="en-US" w:eastAsia="zh-CN"/>
              </w:rPr>
              <w:t>100</w:t>
            </w:r>
          </w:p>
        </w:tc>
        <w:tc>
          <w:tcPr>
            <w:tcW w:w="968" w:type="dxa"/>
            <w:tcBorders>
              <w:tl2br w:val="nil"/>
              <w:tr2bl w:val="nil"/>
            </w:tcBorders>
            <w:noWrap w:val="0"/>
            <w:vAlign w:val="center"/>
          </w:tcPr>
          <w:p w14:paraId="2A1951CA">
            <w:pPr>
              <w:keepNext w:val="0"/>
              <w:keepLines w:val="0"/>
              <w:pageBreakBefore w:val="0"/>
              <w:widowControl/>
              <w:kinsoku/>
              <w:wordWrap/>
              <w:overflowPunct/>
              <w:topLinePunct w:val="0"/>
              <w:autoSpaceDE/>
              <w:autoSpaceDN/>
              <w:bidi w:val="0"/>
              <w:adjustRightInd/>
              <w:snapToGrid/>
              <w:spacing w:line="360" w:lineRule="exact"/>
              <w:textAlignment w:val="auto"/>
              <w:rPr>
                <w:rFonts w:hint="default" w:ascii="宋体" w:hAnsi="宋体" w:eastAsia="方正仿宋_GBK" w:cs="方正仿宋_GBK"/>
                <w:color w:val="000000"/>
                <w:kern w:val="0"/>
                <w:sz w:val="24"/>
                <w:szCs w:val="24"/>
                <w:lang w:val="en-US" w:eastAsia="zh-CN"/>
              </w:rPr>
            </w:pPr>
            <w:r>
              <w:rPr>
                <w:rFonts w:hint="eastAsia" w:ascii="宋体" w:hAnsi="宋体" w:eastAsia="方正仿宋_GBK" w:cs="方正仿宋_GBK"/>
                <w:color w:val="000000"/>
                <w:kern w:val="0"/>
                <w:sz w:val="24"/>
                <w:szCs w:val="24"/>
                <w:lang w:val="en-US" w:eastAsia="zh-CN"/>
              </w:rPr>
              <w:t>10</w:t>
            </w:r>
          </w:p>
        </w:tc>
        <w:tc>
          <w:tcPr>
            <w:tcW w:w="1094" w:type="dxa"/>
            <w:gridSpan w:val="2"/>
            <w:tcBorders>
              <w:tl2br w:val="nil"/>
              <w:tr2bl w:val="nil"/>
            </w:tcBorders>
            <w:noWrap w:val="0"/>
            <w:vAlign w:val="center"/>
          </w:tcPr>
          <w:p w14:paraId="729ECB56">
            <w:pPr>
              <w:keepNext w:val="0"/>
              <w:keepLines w:val="0"/>
              <w:pageBreakBefore w:val="0"/>
              <w:widowControl/>
              <w:kinsoku/>
              <w:wordWrap/>
              <w:overflowPunct/>
              <w:topLinePunct w:val="0"/>
              <w:autoSpaceDE/>
              <w:autoSpaceDN/>
              <w:bidi w:val="0"/>
              <w:adjustRightInd/>
              <w:snapToGrid/>
              <w:spacing w:line="360" w:lineRule="exact"/>
              <w:textAlignment w:val="auto"/>
              <w:rPr>
                <w:rFonts w:hint="default" w:ascii="宋体" w:hAnsi="宋体" w:eastAsia="方正仿宋_GBK" w:cs="方正仿宋_GBK"/>
                <w:color w:val="000000"/>
                <w:kern w:val="0"/>
                <w:sz w:val="24"/>
                <w:szCs w:val="24"/>
                <w:lang w:val="en-US" w:eastAsia="zh-CN"/>
              </w:rPr>
            </w:pPr>
            <w:r>
              <w:rPr>
                <w:rFonts w:hint="eastAsia" w:ascii="宋体" w:hAnsi="宋体" w:eastAsia="方正仿宋_GBK" w:cs="方正仿宋_GBK"/>
                <w:color w:val="000000"/>
                <w:kern w:val="0"/>
                <w:sz w:val="24"/>
                <w:szCs w:val="24"/>
                <w:lang w:val="en-US" w:eastAsia="zh-CN"/>
              </w:rPr>
              <w:t>10</w:t>
            </w:r>
          </w:p>
        </w:tc>
        <w:tc>
          <w:tcPr>
            <w:tcW w:w="892" w:type="dxa"/>
            <w:tcBorders>
              <w:tl2br w:val="nil"/>
              <w:tr2bl w:val="nil"/>
            </w:tcBorders>
            <w:noWrap w:val="0"/>
            <w:vAlign w:val="center"/>
          </w:tcPr>
          <w:p w14:paraId="2175C959">
            <w:pPr>
              <w:keepNext w:val="0"/>
              <w:keepLines w:val="0"/>
              <w:pageBreakBefore w:val="0"/>
              <w:widowControl/>
              <w:kinsoku/>
              <w:wordWrap/>
              <w:overflowPunct/>
              <w:topLinePunct w:val="0"/>
              <w:autoSpaceDN/>
              <w:bidi w:val="0"/>
              <w:snapToGrid/>
              <w:spacing w:line="579" w:lineRule="exact"/>
              <w:textAlignment w:val="auto"/>
              <w:rPr>
                <w:rFonts w:hint="eastAsia" w:ascii="宋体" w:hAnsi="宋体" w:eastAsia="方正仿宋_GBK" w:cs="方正仿宋_GBK"/>
                <w:color w:val="000000"/>
                <w:kern w:val="0"/>
                <w:sz w:val="24"/>
                <w:szCs w:val="24"/>
              </w:rPr>
            </w:pPr>
          </w:p>
        </w:tc>
      </w:tr>
    </w:tbl>
    <w:p w14:paraId="01F4BF1A">
      <w:pPr>
        <w:pStyle w:val="9"/>
        <w:keepNext w:val="0"/>
        <w:keepLines w:val="0"/>
        <w:pageBreakBefore w:val="0"/>
        <w:widowControl w:val="0"/>
        <w:numPr>
          <w:ilvl w:val="0"/>
          <w:numId w:val="0"/>
        </w:numPr>
        <w:tabs>
          <w:tab w:val="center" w:pos="4153"/>
          <w:tab w:val="left" w:pos="7275"/>
        </w:tabs>
        <w:kinsoku/>
        <w:wordWrap/>
        <w:overflowPunct/>
        <w:topLinePunct w:val="0"/>
        <w:autoSpaceDE/>
        <w:autoSpaceDN/>
        <w:bidi w:val="0"/>
        <w:adjustRightInd/>
        <w:snapToGrid/>
        <w:spacing w:line="579" w:lineRule="exact"/>
        <w:ind w:leftChars="200"/>
        <w:textAlignment w:val="auto"/>
        <w:rPr>
          <w:rFonts w:hint="eastAsia" w:ascii="宋体" w:hAnsi="宋体" w:eastAsia="方正仿宋_GBK" w:cs="方正仿宋_GBK"/>
          <w:b/>
          <w:bCs w:val="0"/>
          <w:kern w:val="0"/>
          <w:sz w:val="32"/>
          <w:szCs w:val="32"/>
        </w:rPr>
      </w:pPr>
    </w:p>
    <w:p w14:paraId="190B55FA">
      <w:pPr>
        <w:pStyle w:val="9"/>
        <w:keepNext w:val="0"/>
        <w:keepLines w:val="0"/>
        <w:pageBreakBefore w:val="0"/>
        <w:widowControl w:val="0"/>
        <w:numPr>
          <w:ilvl w:val="0"/>
          <w:numId w:val="7"/>
        </w:numPr>
        <w:tabs>
          <w:tab w:val="center" w:pos="4153"/>
          <w:tab w:val="left" w:pos="7275"/>
        </w:tabs>
        <w:kinsoku/>
        <w:wordWrap/>
        <w:overflowPunct/>
        <w:topLinePunct w:val="0"/>
        <w:autoSpaceDE/>
        <w:autoSpaceDN/>
        <w:bidi w:val="0"/>
        <w:adjustRightInd/>
        <w:snapToGrid/>
        <w:spacing w:line="579" w:lineRule="exact"/>
        <w:ind w:left="0" w:leftChars="0" w:firstLine="632" w:firstLineChars="200"/>
        <w:textAlignment w:val="auto"/>
        <w:rPr>
          <w:rFonts w:hint="eastAsia" w:ascii="宋体" w:hAnsi="宋体" w:eastAsia="方正仿宋_GBK" w:cs="方正仿宋_GBK"/>
          <w:b/>
          <w:bCs w:val="0"/>
          <w:kern w:val="0"/>
          <w:sz w:val="32"/>
          <w:szCs w:val="32"/>
        </w:rPr>
      </w:pPr>
      <w:r>
        <w:rPr>
          <w:rFonts w:hint="eastAsia" w:ascii="宋体" w:hAnsi="宋体" w:eastAsia="方正仿宋_GBK" w:cs="方正仿宋_GBK"/>
          <w:b/>
          <w:bCs w:val="0"/>
          <w:kern w:val="0"/>
          <w:sz w:val="32"/>
          <w:szCs w:val="32"/>
        </w:rPr>
        <w:t>绩效自评报告或案例</w:t>
      </w:r>
    </w:p>
    <w:p w14:paraId="120ACB84">
      <w:pPr>
        <w:pStyle w:val="9"/>
        <w:keepNext w:val="0"/>
        <w:keepLines w:val="0"/>
        <w:pageBreakBefore w:val="0"/>
        <w:widowControl w:val="0"/>
        <w:tabs>
          <w:tab w:val="center" w:pos="4153"/>
          <w:tab w:val="left" w:pos="7275"/>
        </w:tabs>
        <w:kinsoku/>
        <w:wordWrap/>
        <w:overflowPunct/>
        <w:topLinePunct w:val="0"/>
        <w:autoSpaceDE/>
        <w:autoSpaceDN/>
        <w:bidi w:val="0"/>
        <w:adjustRightInd/>
        <w:snapToGrid/>
        <w:spacing w:line="579" w:lineRule="exact"/>
        <w:ind w:firstLine="640"/>
        <w:textAlignment w:val="auto"/>
        <w:rPr>
          <w:rFonts w:hint="eastAsia" w:ascii="宋体" w:hAnsi="宋体" w:eastAsia="方正仿宋_GBK" w:cs="方正仿宋_GBK"/>
          <w:color w:val="auto"/>
          <w:kern w:val="0"/>
          <w:sz w:val="32"/>
          <w:szCs w:val="32"/>
          <w:lang w:eastAsia="zh-CN"/>
        </w:rPr>
      </w:pPr>
      <w:r>
        <w:rPr>
          <w:rFonts w:hint="eastAsia" w:ascii="宋体" w:hAnsi="宋体" w:eastAsia="方正仿宋_GBK" w:cs="方正仿宋_GBK"/>
          <w:color w:val="auto"/>
          <w:kern w:val="0"/>
          <w:sz w:val="32"/>
          <w:szCs w:val="32"/>
          <w:lang w:val="en-US" w:eastAsia="zh-CN"/>
        </w:rPr>
        <w:t>本单位无此事项。</w:t>
      </w:r>
    </w:p>
    <w:p w14:paraId="180CE23F">
      <w:pPr>
        <w:pStyle w:val="9"/>
        <w:keepNext w:val="0"/>
        <w:keepLines w:val="0"/>
        <w:pageBreakBefore w:val="0"/>
        <w:widowControl w:val="0"/>
        <w:numPr>
          <w:ilvl w:val="0"/>
          <w:numId w:val="7"/>
        </w:numPr>
        <w:tabs>
          <w:tab w:val="center" w:pos="4153"/>
          <w:tab w:val="left" w:pos="7275"/>
        </w:tabs>
        <w:kinsoku/>
        <w:wordWrap/>
        <w:overflowPunct/>
        <w:topLinePunct w:val="0"/>
        <w:autoSpaceDE/>
        <w:autoSpaceDN/>
        <w:bidi w:val="0"/>
        <w:adjustRightInd/>
        <w:snapToGrid/>
        <w:spacing w:line="579" w:lineRule="exact"/>
        <w:ind w:left="0" w:leftChars="0" w:firstLine="632" w:firstLineChars="200"/>
        <w:textAlignment w:val="auto"/>
        <w:rPr>
          <w:rFonts w:hint="eastAsia" w:ascii="宋体" w:hAnsi="宋体" w:eastAsia="方正仿宋_GBK" w:cs="方正仿宋_GBK"/>
          <w:b/>
          <w:bCs/>
          <w:color w:val="000000"/>
          <w:kern w:val="0"/>
          <w:sz w:val="32"/>
          <w:szCs w:val="32"/>
        </w:rPr>
      </w:pPr>
      <w:r>
        <w:rPr>
          <w:rFonts w:hint="eastAsia" w:ascii="宋体" w:hAnsi="宋体" w:eastAsia="方正仿宋_GBK" w:cs="方正仿宋_GBK"/>
          <w:b/>
          <w:bCs/>
          <w:color w:val="000000"/>
          <w:kern w:val="0"/>
          <w:sz w:val="32"/>
          <w:szCs w:val="32"/>
        </w:rPr>
        <w:t>关于绩效自评结果的说明</w:t>
      </w:r>
    </w:p>
    <w:p w14:paraId="09F26664">
      <w:pPr>
        <w:pStyle w:val="9"/>
        <w:keepNext w:val="0"/>
        <w:keepLines w:val="0"/>
        <w:pageBreakBefore w:val="0"/>
        <w:widowControl w:val="0"/>
        <w:tabs>
          <w:tab w:val="center" w:pos="4153"/>
          <w:tab w:val="left" w:pos="7275"/>
        </w:tabs>
        <w:kinsoku/>
        <w:wordWrap/>
        <w:overflowPunct/>
        <w:topLinePunct w:val="0"/>
        <w:autoSpaceDE/>
        <w:autoSpaceDN/>
        <w:bidi w:val="0"/>
        <w:adjustRightInd/>
        <w:snapToGrid/>
        <w:spacing w:line="579" w:lineRule="exact"/>
        <w:ind w:firstLine="640"/>
        <w:textAlignment w:val="auto"/>
        <w:outlineLvl w:val="1"/>
        <w:rPr>
          <w:rFonts w:hint="eastAsia" w:ascii="宋体" w:hAnsi="宋体" w:eastAsia="方正仿宋_GBK" w:cs="方正仿宋_GBK"/>
          <w:kern w:val="0"/>
          <w:sz w:val="32"/>
          <w:szCs w:val="32"/>
        </w:rPr>
      </w:pPr>
      <w:r>
        <w:rPr>
          <w:rFonts w:hint="eastAsia" w:ascii="宋体" w:hAnsi="宋体" w:eastAsia="方正仿宋_GBK" w:cs="方正仿宋_GBK"/>
          <w:kern w:val="0"/>
          <w:sz w:val="32"/>
          <w:szCs w:val="32"/>
        </w:rPr>
        <w:t>无。</w:t>
      </w:r>
    </w:p>
    <w:p w14:paraId="58B2F30B">
      <w:pPr>
        <w:pStyle w:val="9"/>
        <w:keepNext w:val="0"/>
        <w:keepLines w:val="0"/>
        <w:pageBreakBefore w:val="0"/>
        <w:widowControl w:val="0"/>
        <w:tabs>
          <w:tab w:val="center" w:pos="4153"/>
          <w:tab w:val="left" w:pos="7275"/>
        </w:tabs>
        <w:kinsoku/>
        <w:wordWrap/>
        <w:overflowPunct/>
        <w:topLinePunct w:val="0"/>
        <w:autoSpaceDE/>
        <w:autoSpaceDN/>
        <w:bidi w:val="0"/>
        <w:adjustRightInd/>
        <w:snapToGrid/>
        <w:spacing w:line="579" w:lineRule="exact"/>
        <w:ind w:firstLine="640"/>
        <w:textAlignment w:val="auto"/>
        <w:outlineLvl w:val="1"/>
        <w:rPr>
          <w:rFonts w:hint="eastAsia" w:ascii="宋体" w:hAnsi="宋体" w:eastAsia="方正楷体_GBK" w:cs="方正楷体_GBK"/>
          <w:color w:val="333333"/>
          <w:sz w:val="32"/>
          <w:szCs w:val="32"/>
        </w:rPr>
      </w:pPr>
      <w:r>
        <w:rPr>
          <w:rFonts w:hint="eastAsia" w:ascii="宋体" w:hAnsi="宋体" w:eastAsia="方正楷体_GBK" w:cs="方正楷体_GBK"/>
          <w:color w:val="333333"/>
          <w:sz w:val="32"/>
          <w:szCs w:val="32"/>
        </w:rPr>
        <w:t>（三）重点绩效评价结果</w:t>
      </w:r>
    </w:p>
    <w:p w14:paraId="26272A77">
      <w:pPr>
        <w:pStyle w:val="9"/>
        <w:keepNext w:val="0"/>
        <w:keepLines w:val="0"/>
        <w:pageBreakBefore w:val="0"/>
        <w:widowControl w:val="0"/>
        <w:tabs>
          <w:tab w:val="center" w:pos="4153"/>
          <w:tab w:val="left" w:pos="7275"/>
        </w:tabs>
        <w:kinsoku/>
        <w:wordWrap/>
        <w:overflowPunct/>
        <w:topLinePunct w:val="0"/>
        <w:autoSpaceDE/>
        <w:autoSpaceDN/>
        <w:bidi w:val="0"/>
        <w:adjustRightInd/>
        <w:snapToGrid/>
        <w:spacing w:line="579" w:lineRule="exact"/>
        <w:ind w:firstLine="640"/>
        <w:textAlignment w:val="auto"/>
        <w:rPr>
          <w:rFonts w:hint="eastAsia" w:ascii="宋体" w:hAnsi="宋体" w:eastAsia="方正仿宋_GBK" w:cs="方正仿宋_GBK"/>
          <w:kern w:val="0"/>
          <w:sz w:val="32"/>
          <w:szCs w:val="32"/>
          <w:lang w:eastAsia="zh-CN"/>
        </w:rPr>
      </w:pPr>
      <w:r>
        <w:rPr>
          <w:rFonts w:hint="eastAsia" w:ascii="宋体" w:hAnsi="宋体" w:eastAsia="方正仿宋_GBK" w:cs="方正仿宋_GBK"/>
          <w:kern w:val="0"/>
          <w:sz w:val="32"/>
          <w:szCs w:val="32"/>
          <w:lang w:val="en-US" w:eastAsia="zh-CN"/>
        </w:rPr>
        <w:t>本单位无此事项。</w:t>
      </w:r>
    </w:p>
    <w:p w14:paraId="43DB4EA2">
      <w:pPr>
        <w:pStyle w:val="9"/>
        <w:keepNext w:val="0"/>
        <w:keepLines w:val="0"/>
        <w:pageBreakBefore w:val="0"/>
        <w:widowControl w:val="0"/>
        <w:numPr>
          <w:ilvl w:val="0"/>
          <w:numId w:val="8"/>
        </w:numPr>
        <w:tabs>
          <w:tab w:val="center" w:pos="4153"/>
          <w:tab w:val="left" w:pos="7275"/>
        </w:tabs>
        <w:kinsoku/>
        <w:wordWrap/>
        <w:overflowPunct/>
        <w:topLinePunct w:val="0"/>
        <w:autoSpaceDE/>
        <w:autoSpaceDN/>
        <w:bidi w:val="0"/>
        <w:adjustRightInd/>
        <w:snapToGrid/>
        <w:spacing w:line="579" w:lineRule="exact"/>
        <w:ind w:firstLine="640"/>
        <w:textAlignment w:val="auto"/>
        <w:outlineLvl w:val="0"/>
        <w:rPr>
          <w:rFonts w:hint="eastAsia" w:ascii="宋体" w:hAnsi="宋体" w:eastAsia="方正仿宋_GBK" w:cs="方正仿宋_GBK"/>
          <w:sz w:val="32"/>
          <w:szCs w:val="32"/>
          <w:lang w:val="en-US" w:eastAsia="zh-CN"/>
        </w:rPr>
      </w:pPr>
      <w:r>
        <w:rPr>
          <w:rFonts w:hint="eastAsia" w:ascii="宋体" w:hAnsi="宋体" w:eastAsia="方正黑体_GBK" w:cs="方正黑体_GBK"/>
          <w:sz w:val="32"/>
          <w:szCs w:val="32"/>
        </w:rPr>
        <w:t>专业名词解释</w:t>
      </w:r>
    </w:p>
    <w:p w14:paraId="67309645">
      <w:pPr>
        <w:keepNext w:val="0"/>
        <w:keepLines w:val="0"/>
        <w:pageBreakBefore w:val="0"/>
        <w:widowControl w:val="0"/>
        <w:kinsoku/>
        <w:wordWrap/>
        <w:overflowPunct/>
        <w:topLinePunct w:val="0"/>
        <w:autoSpaceDE/>
        <w:autoSpaceDN/>
        <w:bidi w:val="0"/>
        <w:adjustRightInd/>
        <w:snapToGrid/>
        <w:spacing w:line="579" w:lineRule="exact"/>
        <w:ind w:firstLine="632" w:firstLineChars="200"/>
        <w:textAlignment w:val="auto"/>
        <w:rPr>
          <w:rFonts w:hint="eastAsia" w:ascii="宋体" w:hAnsi="宋体" w:eastAsia="方正仿宋_GBK" w:cs="方正仿宋_GBK"/>
          <w:sz w:val="32"/>
          <w:szCs w:val="32"/>
        </w:rPr>
      </w:pPr>
      <w:r>
        <w:rPr>
          <w:rFonts w:hint="eastAsia" w:ascii="宋体" w:hAnsi="宋体" w:eastAsia="方正仿宋_GBK" w:cs="方正仿宋_GBK"/>
          <w:sz w:val="32"/>
          <w:szCs w:val="32"/>
        </w:rPr>
        <w:t>（一）财政拨款收入：指本年度从本级财政部门取得的财政拨款，包括一般公共预算财政拨款和政府性基金预算财政拨款。</w:t>
      </w:r>
    </w:p>
    <w:p w14:paraId="33126F8E">
      <w:pPr>
        <w:keepNext w:val="0"/>
        <w:keepLines w:val="0"/>
        <w:pageBreakBefore w:val="0"/>
        <w:widowControl w:val="0"/>
        <w:kinsoku/>
        <w:wordWrap/>
        <w:overflowPunct/>
        <w:topLinePunct w:val="0"/>
        <w:autoSpaceDE/>
        <w:autoSpaceDN/>
        <w:bidi w:val="0"/>
        <w:adjustRightInd/>
        <w:snapToGrid/>
        <w:spacing w:line="579" w:lineRule="exact"/>
        <w:ind w:firstLine="632" w:firstLineChars="200"/>
        <w:textAlignment w:val="auto"/>
        <w:rPr>
          <w:rFonts w:hint="eastAsia" w:ascii="宋体" w:hAnsi="宋体" w:eastAsia="方正仿宋_GBK" w:cs="方正仿宋_GBK"/>
          <w:sz w:val="32"/>
          <w:szCs w:val="32"/>
        </w:rPr>
      </w:pPr>
      <w:r>
        <w:rPr>
          <w:rFonts w:hint="eastAsia" w:ascii="宋体" w:hAnsi="宋体" w:eastAsia="方正仿宋_GBK" w:cs="方正仿宋_GBK"/>
          <w:sz w:val="32"/>
          <w:szCs w:val="32"/>
        </w:rPr>
        <w:t>（二）事业收入：指事业单位开展专业业务活动及其辅助活动取得的现金流入；事业单位收到的财政专户实际核拨的教育收费等资金在此反映。</w:t>
      </w:r>
    </w:p>
    <w:p w14:paraId="6BB1649F">
      <w:pPr>
        <w:keepNext w:val="0"/>
        <w:keepLines w:val="0"/>
        <w:pageBreakBefore w:val="0"/>
        <w:widowControl w:val="0"/>
        <w:kinsoku/>
        <w:wordWrap/>
        <w:overflowPunct/>
        <w:topLinePunct w:val="0"/>
        <w:autoSpaceDE/>
        <w:autoSpaceDN/>
        <w:bidi w:val="0"/>
        <w:adjustRightInd/>
        <w:snapToGrid/>
        <w:spacing w:line="579" w:lineRule="exact"/>
        <w:ind w:firstLine="632" w:firstLineChars="200"/>
        <w:textAlignment w:val="auto"/>
        <w:rPr>
          <w:rFonts w:hint="eastAsia" w:ascii="宋体" w:hAnsi="宋体" w:eastAsia="方正仿宋_GBK" w:cs="方正仿宋_GBK"/>
          <w:sz w:val="32"/>
          <w:szCs w:val="32"/>
        </w:rPr>
      </w:pPr>
      <w:r>
        <w:rPr>
          <w:rFonts w:hint="eastAsia" w:ascii="宋体" w:hAnsi="宋体" w:eastAsia="方正仿宋_GBK" w:cs="方正仿宋_GBK"/>
          <w:sz w:val="32"/>
          <w:szCs w:val="32"/>
        </w:rPr>
        <w:t>（</w:t>
      </w:r>
      <w:r>
        <w:rPr>
          <w:rFonts w:hint="eastAsia" w:ascii="宋体" w:hAnsi="宋体" w:eastAsia="方正仿宋_GBK" w:cs="方正仿宋_GBK"/>
          <w:sz w:val="32"/>
          <w:szCs w:val="32"/>
          <w:lang w:val="en-US" w:eastAsia="zh-CN"/>
        </w:rPr>
        <w:t>三</w:t>
      </w:r>
      <w:r>
        <w:rPr>
          <w:rFonts w:hint="eastAsia" w:ascii="宋体" w:hAnsi="宋体" w:eastAsia="方正仿宋_GBK" w:cs="方正仿宋_GBK"/>
          <w:sz w:val="32"/>
          <w:szCs w:val="32"/>
        </w:rPr>
        <w:t>）其他收入：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14:paraId="6521FC46">
      <w:pPr>
        <w:keepNext w:val="0"/>
        <w:keepLines w:val="0"/>
        <w:pageBreakBefore w:val="0"/>
        <w:widowControl w:val="0"/>
        <w:kinsoku/>
        <w:wordWrap/>
        <w:overflowPunct/>
        <w:topLinePunct w:val="0"/>
        <w:autoSpaceDE/>
        <w:autoSpaceDN/>
        <w:bidi w:val="0"/>
        <w:adjustRightInd/>
        <w:snapToGrid/>
        <w:spacing w:line="579" w:lineRule="exact"/>
        <w:ind w:firstLine="632" w:firstLineChars="200"/>
        <w:textAlignment w:val="auto"/>
        <w:rPr>
          <w:rFonts w:hint="eastAsia" w:ascii="宋体" w:hAnsi="宋体" w:eastAsia="方正仿宋_GBK" w:cs="方正仿宋_GBK"/>
          <w:sz w:val="32"/>
          <w:szCs w:val="32"/>
        </w:rPr>
      </w:pPr>
      <w:r>
        <w:rPr>
          <w:rFonts w:hint="eastAsia" w:ascii="宋体" w:hAnsi="宋体" w:eastAsia="方正仿宋_GBK" w:cs="方正仿宋_GBK"/>
          <w:sz w:val="32"/>
          <w:szCs w:val="32"/>
        </w:rPr>
        <w:t>（</w:t>
      </w:r>
      <w:r>
        <w:rPr>
          <w:rFonts w:hint="eastAsia" w:ascii="宋体" w:hAnsi="宋体" w:eastAsia="方正仿宋_GBK" w:cs="方正仿宋_GBK"/>
          <w:sz w:val="32"/>
          <w:szCs w:val="32"/>
          <w:lang w:val="en-US" w:eastAsia="zh-CN"/>
        </w:rPr>
        <w:t>四</w:t>
      </w:r>
      <w:r>
        <w:rPr>
          <w:rFonts w:hint="eastAsia" w:ascii="宋体" w:hAnsi="宋体" w:eastAsia="方正仿宋_GBK" w:cs="方正仿宋_GBK"/>
          <w:sz w:val="32"/>
          <w:szCs w:val="32"/>
        </w:rPr>
        <w:t>）使用非财政拨款结余：指单位在当年的“财政拨款收入”、“事业收入”、“经营收入”、“其他收入”等不足以安排当年支出的情况下，使用以前年度积累的非财政拨款结余弥补本年度收支缺口的资金。</w:t>
      </w:r>
    </w:p>
    <w:p w14:paraId="3AA9C7F6">
      <w:pPr>
        <w:keepNext w:val="0"/>
        <w:keepLines w:val="0"/>
        <w:pageBreakBefore w:val="0"/>
        <w:widowControl w:val="0"/>
        <w:kinsoku/>
        <w:wordWrap/>
        <w:overflowPunct/>
        <w:topLinePunct w:val="0"/>
        <w:autoSpaceDE/>
        <w:autoSpaceDN/>
        <w:bidi w:val="0"/>
        <w:adjustRightInd/>
        <w:snapToGrid/>
        <w:spacing w:line="579" w:lineRule="exact"/>
        <w:ind w:firstLine="632" w:firstLineChars="200"/>
        <w:textAlignment w:val="auto"/>
        <w:rPr>
          <w:rFonts w:hint="eastAsia" w:ascii="宋体" w:hAnsi="宋体" w:eastAsia="方正仿宋_GBK" w:cs="方正仿宋_GBK"/>
          <w:sz w:val="32"/>
          <w:szCs w:val="32"/>
        </w:rPr>
      </w:pPr>
      <w:r>
        <w:rPr>
          <w:rFonts w:hint="eastAsia" w:ascii="宋体" w:hAnsi="宋体" w:eastAsia="方正仿宋_GBK" w:cs="方正仿宋_GBK"/>
          <w:sz w:val="32"/>
          <w:szCs w:val="32"/>
        </w:rPr>
        <w:t>（</w:t>
      </w:r>
      <w:r>
        <w:rPr>
          <w:rFonts w:hint="eastAsia" w:ascii="宋体" w:hAnsi="宋体" w:eastAsia="方正仿宋_GBK" w:cs="方正仿宋_GBK"/>
          <w:sz w:val="32"/>
          <w:szCs w:val="32"/>
          <w:lang w:val="en-US" w:eastAsia="zh-CN"/>
        </w:rPr>
        <w:t>五</w:t>
      </w:r>
      <w:r>
        <w:rPr>
          <w:rFonts w:hint="eastAsia" w:ascii="宋体" w:hAnsi="宋体" w:eastAsia="方正仿宋_GBK" w:cs="方正仿宋_GBK"/>
          <w:sz w:val="32"/>
          <w:szCs w:val="32"/>
        </w:rPr>
        <w:t>）年初结转和结余：指单位上年结转本年使用的基本支出结转、项目支出结转和结余、经营结余。</w:t>
      </w:r>
    </w:p>
    <w:p w14:paraId="442811D5">
      <w:pPr>
        <w:keepNext w:val="0"/>
        <w:keepLines w:val="0"/>
        <w:pageBreakBefore w:val="0"/>
        <w:widowControl w:val="0"/>
        <w:kinsoku/>
        <w:wordWrap/>
        <w:overflowPunct/>
        <w:topLinePunct w:val="0"/>
        <w:autoSpaceDE/>
        <w:autoSpaceDN/>
        <w:bidi w:val="0"/>
        <w:adjustRightInd/>
        <w:snapToGrid/>
        <w:spacing w:line="579" w:lineRule="exact"/>
        <w:ind w:firstLine="632" w:firstLineChars="200"/>
        <w:textAlignment w:val="auto"/>
        <w:rPr>
          <w:rFonts w:hint="eastAsia" w:ascii="宋体" w:hAnsi="宋体" w:eastAsia="方正仿宋_GBK" w:cs="方正仿宋_GBK"/>
          <w:sz w:val="32"/>
          <w:szCs w:val="32"/>
        </w:rPr>
      </w:pPr>
      <w:r>
        <w:rPr>
          <w:rFonts w:hint="eastAsia" w:ascii="宋体" w:hAnsi="宋体" w:eastAsia="方正仿宋_GBK" w:cs="方正仿宋_GBK"/>
          <w:sz w:val="32"/>
          <w:szCs w:val="32"/>
        </w:rPr>
        <w:t>（</w:t>
      </w:r>
      <w:r>
        <w:rPr>
          <w:rFonts w:hint="eastAsia" w:ascii="宋体" w:hAnsi="宋体" w:eastAsia="方正仿宋_GBK" w:cs="方正仿宋_GBK"/>
          <w:sz w:val="32"/>
          <w:szCs w:val="32"/>
          <w:lang w:val="en-US" w:eastAsia="zh-CN"/>
        </w:rPr>
        <w:t>六</w:t>
      </w:r>
      <w:r>
        <w:rPr>
          <w:rFonts w:hint="eastAsia" w:ascii="宋体" w:hAnsi="宋体" w:eastAsia="方正仿宋_GBK" w:cs="方正仿宋_GBK"/>
          <w:sz w:val="32"/>
          <w:szCs w:val="32"/>
        </w:rPr>
        <w:t>）结余分配：指单位按照国家有关规定，缴纳所得税、提取专用基金、转入非财政拨款结余等当年结余的分配情况。</w:t>
      </w:r>
    </w:p>
    <w:p w14:paraId="31C8DCF6">
      <w:pPr>
        <w:keepNext w:val="0"/>
        <w:keepLines w:val="0"/>
        <w:pageBreakBefore w:val="0"/>
        <w:widowControl w:val="0"/>
        <w:kinsoku/>
        <w:wordWrap/>
        <w:overflowPunct/>
        <w:topLinePunct w:val="0"/>
        <w:autoSpaceDE/>
        <w:autoSpaceDN/>
        <w:bidi w:val="0"/>
        <w:adjustRightInd/>
        <w:snapToGrid/>
        <w:spacing w:line="579" w:lineRule="exact"/>
        <w:ind w:firstLine="632" w:firstLineChars="200"/>
        <w:textAlignment w:val="auto"/>
        <w:rPr>
          <w:rFonts w:hint="eastAsia" w:ascii="宋体" w:hAnsi="宋体" w:eastAsia="方正仿宋_GBK" w:cs="方正仿宋_GBK"/>
          <w:sz w:val="32"/>
          <w:szCs w:val="32"/>
        </w:rPr>
      </w:pPr>
      <w:r>
        <w:rPr>
          <w:rFonts w:hint="eastAsia" w:ascii="宋体" w:hAnsi="宋体" w:eastAsia="方正仿宋_GBK" w:cs="方正仿宋_GBK"/>
          <w:sz w:val="32"/>
          <w:szCs w:val="32"/>
        </w:rPr>
        <w:t>（</w:t>
      </w:r>
      <w:r>
        <w:rPr>
          <w:rFonts w:hint="eastAsia" w:ascii="宋体" w:hAnsi="宋体" w:eastAsia="方正仿宋_GBK" w:cs="方正仿宋_GBK"/>
          <w:sz w:val="32"/>
          <w:szCs w:val="32"/>
          <w:lang w:val="en-US" w:eastAsia="zh-CN"/>
        </w:rPr>
        <w:t>七</w:t>
      </w:r>
      <w:r>
        <w:rPr>
          <w:rFonts w:hint="eastAsia" w:ascii="宋体" w:hAnsi="宋体" w:eastAsia="方正仿宋_GBK" w:cs="方正仿宋_GBK"/>
          <w:sz w:val="32"/>
          <w:szCs w:val="32"/>
        </w:rPr>
        <w:t>）年末结转和结余：指单位结转下年的基本支出结转、项目支出结转和结余、经营结余。</w:t>
      </w:r>
    </w:p>
    <w:p w14:paraId="3997F1B6">
      <w:pPr>
        <w:keepNext w:val="0"/>
        <w:keepLines w:val="0"/>
        <w:pageBreakBefore w:val="0"/>
        <w:widowControl w:val="0"/>
        <w:kinsoku/>
        <w:wordWrap/>
        <w:overflowPunct/>
        <w:topLinePunct w:val="0"/>
        <w:autoSpaceDE/>
        <w:autoSpaceDN/>
        <w:bidi w:val="0"/>
        <w:adjustRightInd/>
        <w:snapToGrid/>
        <w:spacing w:line="579" w:lineRule="exact"/>
        <w:ind w:firstLine="632" w:firstLineChars="200"/>
        <w:textAlignment w:val="auto"/>
        <w:rPr>
          <w:rFonts w:hint="eastAsia" w:ascii="宋体" w:hAnsi="宋体" w:eastAsia="方正仿宋_GBK" w:cs="方正仿宋_GBK"/>
          <w:sz w:val="32"/>
          <w:szCs w:val="32"/>
        </w:rPr>
      </w:pPr>
      <w:r>
        <w:rPr>
          <w:rFonts w:hint="eastAsia" w:ascii="宋体" w:hAnsi="宋体" w:eastAsia="方正仿宋_GBK" w:cs="方正仿宋_GBK"/>
          <w:sz w:val="32"/>
          <w:szCs w:val="32"/>
        </w:rPr>
        <w:t>（</w:t>
      </w:r>
      <w:r>
        <w:rPr>
          <w:rFonts w:hint="eastAsia" w:ascii="宋体" w:hAnsi="宋体" w:eastAsia="方正仿宋_GBK" w:cs="方正仿宋_GBK"/>
          <w:sz w:val="32"/>
          <w:szCs w:val="32"/>
          <w:lang w:val="en-US" w:eastAsia="zh-CN"/>
        </w:rPr>
        <w:t>八</w:t>
      </w:r>
      <w:r>
        <w:rPr>
          <w:rFonts w:hint="eastAsia" w:ascii="宋体" w:hAnsi="宋体" w:eastAsia="方正仿宋_GBK" w:cs="方正仿宋_GBK"/>
          <w:sz w:val="32"/>
          <w:szCs w:val="32"/>
        </w:rPr>
        <w:t>）基本支出：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14:paraId="2D2ADB85">
      <w:pPr>
        <w:keepNext w:val="0"/>
        <w:keepLines w:val="0"/>
        <w:pageBreakBefore w:val="0"/>
        <w:widowControl w:val="0"/>
        <w:kinsoku/>
        <w:wordWrap/>
        <w:overflowPunct/>
        <w:topLinePunct w:val="0"/>
        <w:autoSpaceDE/>
        <w:autoSpaceDN/>
        <w:bidi w:val="0"/>
        <w:adjustRightInd/>
        <w:snapToGrid/>
        <w:spacing w:line="579" w:lineRule="exact"/>
        <w:ind w:firstLine="632" w:firstLineChars="200"/>
        <w:textAlignment w:val="auto"/>
        <w:rPr>
          <w:rFonts w:hint="eastAsia" w:ascii="宋体" w:hAnsi="宋体" w:eastAsia="方正仿宋_GBK" w:cs="方正仿宋_GBK"/>
          <w:sz w:val="32"/>
          <w:szCs w:val="32"/>
        </w:rPr>
      </w:pPr>
      <w:r>
        <w:rPr>
          <w:rFonts w:hint="eastAsia" w:ascii="宋体" w:hAnsi="宋体" w:eastAsia="方正仿宋_GBK" w:cs="方正仿宋_GBK"/>
          <w:sz w:val="32"/>
          <w:szCs w:val="32"/>
        </w:rPr>
        <w:t>（</w:t>
      </w:r>
      <w:r>
        <w:rPr>
          <w:rFonts w:hint="eastAsia" w:ascii="宋体" w:hAnsi="宋体" w:eastAsia="方正仿宋_GBK" w:cs="方正仿宋_GBK"/>
          <w:sz w:val="32"/>
          <w:szCs w:val="32"/>
          <w:lang w:val="en-US" w:eastAsia="zh-CN"/>
        </w:rPr>
        <w:t>九</w:t>
      </w:r>
      <w:r>
        <w:rPr>
          <w:rFonts w:hint="eastAsia" w:ascii="宋体" w:hAnsi="宋体" w:eastAsia="方正仿宋_GBK" w:cs="方正仿宋_GBK"/>
          <w:sz w:val="32"/>
          <w:szCs w:val="32"/>
        </w:rPr>
        <w:t>）项目支出：指在基本支出之外为完成特定行政任务和事业发展目标所发生的支出。</w:t>
      </w:r>
    </w:p>
    <w:p w14:paraId="23E8AF63">
      <w:pPr>
        <w:keepNext w:val="0"/>
        <w:keepLines w:val="0"/>
        <w:pageBreakBefore w:val="0"/>
        <w:widowControl w:val="0"/>
        <w:kinsoku/>
        <w:wordWrap/>
        <w:overflowPunct/>
        <w:topLinePunct w:val="0"/>
        <w:autoSpaceDE/>
        <w:autoSpaceDN/>
        <w:bidi w:val="0"/>
        <w:adjustRightInd/>
        <w:snapToGrid/>
        <w:spacing w:line="579" w:lineRule="exact"/>
        <w:ind w:firstLine="632" w:firstLineChars="200"/>
        <w:textAlignment w:val="auto"/>
        <w:rPr>
          <w:rFonts w:hint="eastAsia" w:ascii="宋体" w:hAnsi="宋体" w:eastAsia="方正仿宋_GBK" w:cs="方正仿宋_GBK"/>
          <w:sz w:val="32"/>
          <w:szCs w:val="32"/>
        </w:rPr>
      </w:pPr>
      <w:r>
        <w:rPr>
          <w:rFonts w:hint="eastAsia" w:ascii="宋体" w:hAnsi="宋体" w:eastAsia="方正仿宋_GBK" w:cs="方正仿宋_GBK"/>
          <w:sz w:val="32"/>
          <w:szCs w:val="32"/>
        </w:rPr>
        <w:t>（十）“三公”经费：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14:paraId="173675D4">
      <w:pPr>
        <w:keepNext w:val="0"/>
        <w:keepLines w:val="0"/>
        <w:pageBreakBefore w:val="0"/>
        <w:widowControl w:val="0"/>
        <w:kinsoku/>
        <w:wordWrap/>
        <w:overflowPunct/>
        <w:topLinePunct w:val="0"/>
        <w:autoSpaceDE/>
        <w:autoSpaceDN/>
        <w:bidi w:val="0"/>
        <w:adjustRightInd/>
        <w:snapToGrid/>
        <w:spacing w:line="579" w:lineRule="exact"/>
        <w:ind w:firstLine="632" w:firstLineChars="200"/>
        <w:textAlignment w:val="auto"/>
        <w:rPr>
          <w:rFonts w:hint="eastAsia" w:ascii="宋体" w:hAnsi="宋体" w:eastAsia="方正仿宋_GBK" w:cs="方正仿宋_GBK"/>
          <w:sz w:val="32"/>
          <w:szCs w:val="32"/>
        </w:rPr>
      </w:pPr>
      <w:r>
        <w:rPr>
          <w:rFonts w:hint="eastAsia" w:ascii="宋体" w:hAnsi="宋体" w:eastAsia="方正仿宋_GBK" w:cs="方正仿宋_GBK"/>
          <w:sz w:val="32"/>
          <w:szCs w:val="32"/>
        </w:rPr>
        <w:t>（十</w:t>
      </w:r>
      <w:r>
        <w:rPr>
          <w:rFonts w:hint="eastAsia" w:ascii="宋体" w:hAnsi="宋体" w:eastAsia="方正仿宋_GBK" w:cs="方正仿宋_GBK"/>
          <w:sz w:val="32"/>
          <w:szCs w:val="32"/>
          <w:lang w:val="en-US" w:eastAsia="zh-CN"/>
        </w:rPr>
        <w:t>一</w:t>
      </w:r>
      <w:r>
        <w:rPr>
          <w:rFonts w:hint="eastAsia" w:ascii="宋体" w:hAnsi="宋体" w:eastAsia="方正仿宋_GBK" w:cs="方正仿宋_GBK"/>
          <w:sz w:val="32"/>
          <w:szCs w:val="32"/>
        </w:rPr>
        <w:t>）机关运行经费：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14:paraId="7EC69513">
      <w:pPr>
        <w:keepNext w:val="0"/>
        <w:keepLines w:val="0"/>
        <w:pageBreakBefore w:val="0"/>
        <w:widowControl w:val="0"/>
        <w:kinsoku/>
        <w:wordWrap/>
        <w:overflowPunct/>
        <w:topLinePunct w:val="0"/>
        <w:autoSpaceDE/>
        <w:autoSpaceDN/>
        <w:bidi w:val="0"/>
        <w:adjustRightInd/>
        <w:snapToGrid/>
        <w:spacing w:line="579" w:lineRule="exact"/>
        <w:ind w:firstLine="632" w:firstLineChars="200"/>
        <w:textAlignment w:val="auto"/>
        <w:rPr>
          <w:rFonts w:hint="eastAsia" w:ascii="宋体" w:hAnsi="宋体" w:eastAsia="方正仿宋_GBK" w:cs="方正仿宋_GBK"/>
          <w:sz w:val="32"/>
          <w:szCs w:val="32"/>
        </w:rPr>
      </w:pPr>
      <w:r>
        <w:rPr>
          <w:rFonts w:hint="eastAsia" w:ascii="宋体" w:hAnsi="宋体" w:eastAsia="方正仿宋_GBK" w:cs="方正仿宋_GBK"/>
          <w:sz w:val="32"/>
          <w:szCs w:val="32"/>
        </w:rPr>
        <w:t>（十</w:t>
      </w:r>
      <w:r>
        <w:rPr>
          <w:rFonts w:hint="eastAsia" w:ascii="宋体" w:hAnsi="宋体" w:eastAsia="方正仿宋_GBK" w:cs="方正仿宋_GBK"/>
          <w:sz w:val="32"/>
          <w:szCs w:val="32"/>
          <w:lang w:val="en-US" w:eastAsia="zh-CN"/>
        </w:rPr>
        <w:t>二</w:t>
      </w:r>
      <w:r>
        <w:rPr>
          <w:rFonts w:hint="eastAsia" w:ascii="宋体" w:hAnsi="宋体" w:eastAsia="方正仿宋_GBK" w:cs="方正仿宋_GBK"/>
          <w:sz w:val="32"/>
          <w:szCs w:val="32"/>
        </w:rPr>
        <w:t>）工资福利支出（支出经济分类科目类级）：反映单位开支的在职职工和编制外长期聘用人员的各类劳动报酬，以及为上述人员缴纳的各项社会保险费等。</w:t>
      </w:r>
    </w:p>
    <w:p w14:paraId="7CA2BE50">
      <w:pPr>
        <w:keepNext w:val="0"/>
        <w:keepLines w:val="0"/>
        <w:pageBreakBefore w:val="0"/>
        <w:widowControl w:val="0"/>
        <w:kinsoku/>
        <w:wordWrap/>
        <w:overflowPunct/>
        <w:topLinePunct w:val="0"/>
        <w:autoSpaceDE/>
        <w:autoSpaceDN/>
        <w:bidi w:val="0"/>
        <w:adjustRightInd/>
        <w:snapToGrid/>
        <w:spacing w:line="579" w:lineRule="exact"/>
        <w:ind w:firstLine="632" w:firstLineChars="200"/>
        <w:textAlignment w:val="auto"/>
        <w:rPr>
          <w:rFonts w:hint="eastAsia" w:ascii="宋体" w:hAnsi="宋体" w:eastAsia="方正仿宋_GBK" w:cs="方正仿宋_GBK"/>
          <w:sz w:val="32"/>
          <w:szCs w:val="32"/>
        </w:rPr>
      </w:pPr>
      <w:r>
        <w:rPr>
          <w:rFonts w:hint="eastAsia" w:ascii="宋体" w:hAnsi="宋体" w:eastAsia="方正仿宋_GBK" w:cs="方正仿宋_GBK"/>
          <w:sz w:val="32"/>
          <w:szCs w:val="32"/>
        </w:rPr>
        <w:t>（十</w:t>
      </w:r>
      <w:r>
        <w:rPr>
          <w:rFonts w:hint="eastAsia" w:ascii="宋体" w:hAnsi="宋体" w:eastAsia="方正仿宋_GBK" w:cs="方正仿宋_GBK"/>
          <w:sz w:val="32"/>
          <w:szCs w:val="32"/>
          <w:lang w:val="en-US" w:eastAsia="zh-CN"/>
        </w:rPr>
        <w:t>三</w:t>
      </w:r>
      <w:r>
        <w:rPr>
          <w:rFonts w:hint="eastAsia" w:ascii="宋体" w:hAnsi="宋体" w:eastAsia="方正仿宋_GBK" w:cs="方正仿宋_GBK"/>
          <w:sz w:val="32"/>
          <w:szCs w:val="32"/>
        </w:rPr>
        <w:t>）商品和服务支出（支出经济分类科目类级）：反映</w:t>
      </w:r>
      <w:bookmarkStart w:id="0" w:name="_GoBack"/>
      <w:bookmarkEnd w:id="0"/>
      <w:r>
        <w:rPr>
          <w:rFonts w:hint="eastAsia" w:ascii="宋体" w:hAnsi="宋体" w:eastAsia="方正仿宋_GBK" w:cs="方正仿宋_GBK"/>
          <w:sz w:val="32"/>
          <w:szCs w:val="32"/>
        </w:rPr>
        <w:t>单位购买商品和服务的支出（不包括用于购置固定资产的支出、战略性和应急储备支出）。</w:t>
      </w:r>
    </w:p>
    <w:p w14:paraId="1B79BEB0">
      <w:pPr>
        <w:keepNext w:val="0"/>
        <w:keepLines w:val="0"/>
        <w:pageBreakBefore w:val="0"/>
        <w:widowControl w:val="0"/>
        <w:kinsoku/>
        <w:wordWrap/>
        <w:overflowPunct/>
        <w:topLinePunct w:val="0"/>
        <w:autoSpaceDE/>
        <w:autoSpaceDN/>
        <w:bidi w:val="0"/>
        <w:adjustRightInd/>
        <w:snapToGrid/>
        <w:spacing w:line="579" w:lineRule="exact"/>
        <w:ind w:firstLine="632" w:firstLineChars="200"/>
        <w:textAlignment w:val="auto"/>
        <w:rPr>
          <w:rFonts w:hint="eastAsia" w:ascii="宋体" w:hAnsi="宋体" w:eastAsia="方正仿宋_GBK" w:cs="方正仿宋_GBK"/>
          <w:sz w:val="32"/>
          <w:szCs w:val="32"/>
        </w:rPr>
      </w:pPr>
      <w:r>
        <w:rPr>
          <w:rFonts w:hint="eastAsia" w:ascii="宋体" w:hAnsi="宋体" w:eastAsia="方正仿宋_GBK" w:cs="方正仿宋_GBK"/>
          <w:sz w:val="32"/>
          <w:szCs w:val="32"/>
        </w:rPr>
        <w:t>（十</w:t>
      </w:r>
      <w:r>
        <w:rPr>
          <w:rFonts w:hint="eastAsia" w:ascii="宋体" w:hAnsi="宋体" w:eastAsia="方正仿宋_GBK" w:cs="方正仿宋_GBK"/>
          <w:sz w:val="32"/>
          <w:szCs w:val="32"/>
          <w:lang w:val="en-US" w:eastAsia="zh-CN"/>
        </w:rPr>
        <w:t>四</w:t>
      </w:r>
      <w:r>
        <w:rPr>
          <w:rFonts w:hint="eastAsia" w:ascii="宋体" w:hAnsi="宋体" w:eastAsia="方正仿宋_GBK" w:cs="方正仿宋_GBK"/>
          <w:sz w:val="32"/>
          <w:szCs w:val="32"/>
        </w:rPr>
        <w:t>）对个人和家庭的补助（支出经济分类科目类级）：反映用于对个人和家庭的补助支出。</w:t>
      </w:r>
    </w:p>
    <w:p w14:paraId="71176B15">
      <w:pPr>
        <w:pStyle w:val="9"/>
        <w:keepNext w:val="0"/>
        <w:keepLines w:val="0"/>
        <w:pageBreakBefore w:val="0"/>
        <w:widowControl w:val="0"/>
        <w:tabs>
          <w:tab w:val="center" w:pos="4153"/>
          <w:tab w:val="left" w:pos="7275"/>
        </w:tabs>
        <w:kinsoku/>
        <w:wordWrap/>
        <w:overflowPunct/>
        <w:topLinePunct w:val="0"/>
        <w:autoSpaceDE/>
        <w:autoSpaceDN/>
        <w:bidi w:val="0"/>
        <w:adjustRightInd/>
        <w:snapToGrid/>
        <w:spacing w:line="579" w:lineRule="exact"/>
        <w:ind w:firstLine="640"/>
        <w:textAlignment w:val="auto"/>
        <w:rPr>
          <w:rFonts w:hint="eastAsia" w:ascii="宋体" w:hAnsi="宋体" w:eastAsia="方正仿宋_GBK" w:cs="方正仿宋_GBK"/>
          <w:sz w:val="32"/>
          <w:szCs w:val="32"/>
        </w:rPr>
      </w:pPr>
      <w:r>
        <w:rPr>
          <w:rFonts w:hint="eastAsia" w:ascii="宋体" w:hAnsi="宋体" w:eastAsia="方正仿宋_GBK" w:cs="方正仿宋_GBK"/>
          <w:sz w:val="32"/>
          <w:szCs w:val="32"/>
        </w:rPr>
        <w:t>（十</w:t>
      </w:r>
      <w:r>
        <w:rPr>
          <w:rFonts w:hint="eastAsia" w:ascii="宋体" w:hAnsi="宋体" w:eastAsia="方正仿宋_GBK" w:cs="方正仿宋_GBK"/>
          <w:sz w:val="32"/>
          <w:szCs w:val="32"/>
          <w:lang w:val="en-US" w:eastAsia="zh-CN"/>
        </w:rPr>
        <w:t>五</w:t>
      </w:r>
      <w:r>
        <w:rPr>
          <w:rFonts w:hint="eastAsia" w:ascii="宋体" w:hAnsi="宋体" w:eastAsia="方正仿宋_GBK" w:cs="方正仿宋_GBK"/>
          <w:sz w:val="32"/>
          <w:szCs w:val="32"/>
        </w:rPr>
        <w:t>）其他资本性支出（支出经济分类科目类级）：反映非各级发展与改革部门集中安排的用于购置固定资产、战略性和应急性储备、土地和无形资产，以及构建基础设施、大型修缮和财政支持企业更新改造所发生的支出。</w:t>
      </w:r>
    </w:p>
    <w:p w14:paraId="2DC0BD7B">
      <w:pPr>
        <w:pStyle w:val="9"/>
        <w:keepNext w:val="0"/>
        <w:keepLines w:val="0"/>
        <w:pageBreakBefore w:val="0"/>
        <w:widowControl w:val="0"/>
        <w:tabs>
          <w:tab w:val="center" w:pos="4153"/>
          <w:tab w:val="left" w:pos="7275"/>
        </w:tabs>
        <w:kinsoku/>
        <w:wordWrap/>
        <w:overflowPunct/>
        <w:topLinePunct w:val="0"/>
        <w:autoSpaceDE/>
        <w:autoSpaceDN/>
        <w:bidi w:val="0"/>
        <w:adjustRightInd/>
        <w:snapToGrid/>
        <w:spacing w:line="579" w:lineRule="exact"/>
        <w:ind w:firstLine="640"/>
        <w:textAlignment w:val="auto"/>
        <w:outlineLvl w:val="0"/>
        <w:rPr>
          <w:rFonts w:hint="eastAsia" w:ascii="宋体" w:hAnsi="宋体" w:eastAsia="方正黑体_GBK" w:cs="方正黑体_GBK"/>
          <w:sz w:val="32"/>
          <w:szCs w:val="32"/>
        </w:rPr>
      </w:pPr>
      <w:r>
        <w:rPr>
          <w:rFonts w:hint="eastAsia" w:ascii="宋体" w:hAnsi="宋体" w:eastAsia="方正黑体_GBK" w:cs="方正黑体_GBK"/>
          <w:sz w:val="32"/>
          <w:szCs w:val="32"/>
        </w:rPr>
        <w:t>七、决算公开联系方式</w:t>
      </w:r>
    </w:p>
    <w:p w14:paraId="48A51917">
      <w:pPr>
        <w:pStyle w:val="5"/>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79" w:lineRule="exact"/>
        <w:ind w:firstLine="632" w:firstLineChars="200"/>
        <w:jc w:val="both"/>
        <w:textAlignment w:val="auto"/>
        <w:rPr>
          <w:rFonts w:hint="eastAsia" w:ascii="宋体" w:hAnsi="宋体" w:eastAsia="方正仿宋_GBK" w:cs="方正仿宋_GBK"/>
          <w:sz w:val="32"/>
          <w:szCs w:val="32"/>
        </w:rPr>
      </w:pPr>
      <w:r>
        <w:rPr>
          <w:rFonts w:hint="eastAsia" w:ascii="宋体" w:hAnsi="宋体" w:eastAsia="方正仿宋_GBK" w:cs="方正仿宋_GBK"/>
          <w:sz w:val="32"/>
          <w:szCs w:val="32"/>
        </w:rPr>
        <w:t>本单位决算公开信息反馈和联系方式：</w:t>
      </w:r>
    </w:p>
    <w:p w14:paraId="5C9AC09E">
      <w:pPr>
        <w:pStyle w:val="5"/>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79" w:lineRule="exact"/>
        <w:ind w:firstLine="632" w:firstLineChars="200"/>
        <w:jc w:val="both"/>
        <w:textAlignment w:val="auto"/>
        <w:rPr>
          <w:rFonts w:hint="eastAsia" w:ascii="宋体" w:hAnsi="宋体" w:eastAsia="方正仿宋_GBK" w:cs="方正仿宋_GBK"/>
          <w:sz w:val="32"/>
          <w:szCs w:val="32"/>
          <w:lang w:val="en-US"/>
        </w:rPr>
      </w:pPr>
      <w:r>
        <w:rPr>
          <w:rFonts w:hint="eastAsia" w:ascii="宋体" w:hAnsi="宋体" w:eastAsia="方正仿宋_GBK" w:cs="方正仿宋_GBK"/>
          <w:sz w:val="32"/>
          <w:szCs w:val="32"/>
          <w:lang w:val="en-US" w:eastAsia="zh-CN"/>
        </w:rPr>
        <w:t>联系人：苏杨</w:t>
      </w:r>
      <w:r>
        <w:rPr>
          <w:rFonts w:hint="eastAsia" w:ascii="宋体" w:hAnsi="宋体" w:eastAsia="方正仿宋_GBK" w:cs="方正仿宋_GBK"/>
          <w:sz w:val="32"/>
          <w:szCs w:val="32"/>
        </w:rPr>
        <w:t xml:space="preserve">    </w:t>
      </w:r>
      <w:r>
        <w:rPr>
          <w:rFonts w:hint="eastAsia" w:ascii="宋体" w:hAnsi="宋体" w:eastAsia="方正仿宋_GBK" w:cs="方正仿宋_GBK"/>
          <w:sz w:val="32"/>
          <w:szCs w:val="32"/>
          <w:lang w:val="en-US" w:eastAsia="zh-CN"/>
        </w:rPr>
        <w:t>联系电话：023-81222208</w:t>
      </w:r>
    </w:p>
    <w:sectPr>
      <w:footerReference r:id="rId3" w:type="default"/>
      <w:footerReference r:id="rId4" w:type="even"/>
      <w:pgSz w:w="11906" w:h="16838"/>
      <w:pgMar w:top="2098" w:right="1474" w:bottom="1984" w:left="1587" w:header="851" w:footer="1474" w:gutter="0"/>
      <w:pgBorders>
        <w:top w:val="none" w:sz="0" w:space="0"/>
        <w:left w:val="none" w:sz="0" w:space="0"/>
        <w:bottom w:val="none" w:sz="0" w:space="0"/>
        <w:right w:val="none" w:sz="0" w:space="0"/>
      </w:pgBorders>
      <w:cols w:space="0" w:num="1"/>
      <w:rtlGutter w:val="0"/>
      <w:docGrid w:type="linesAndChars" w:linePitch="579" w:charSpace="-84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方正仿宋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375B0F">
    <w:pPr>
      <w:pStyle w:val="3"/>
      <w:tabs>
        <w:tab w:val="right" w:pos="8307"/>
        <w:tab w:val="clear" w:pos="8306"/>
      </w:tabs>
      <w:ind w:right="320" w:rightChars="100"/>
      <w:jc w:val="right"/>
    </w:pPr>
    <w:r>
      <w:rPr>
        <w:rFonts w:hint="eastAsia"/>
        <w:sz w:val="28"/>
        <w:szCs w:val="28"/>
      </w:rPr>
      <w:t>―</w:t>
    </w:r>
    <w:r>
      <w:rPr>
        <w:rFonts w:hint="eastAsia" w:ascii="宋体" w:eastAsia="宋体"/>
        <w:sz w:val="28"/>
        <w:szCs w:val="28"/>
      </w:rPr>
      <w:t xml:space="preserve"> </w:t>
    </w:r>
    <w:r>
      <w:rPr>
        <w:rFonts w:hint="eastAsia" w:ascii="宋体" w:hAnsi="宋体" w:eastAsia="宋体" w:cs="宋体"/>
        <w:sz w:val="28"/>
        <w:szCs w:val="28"/>
        <w:lang w:bidi="ar-SA"/>
      </w:rPr>
      <w:fldChar w:fldCharType="begin"/>
    </w:r>
    <w:r>
      <w:rPr>
        <w:rFonts w:hint="eastAsia" w:ascii="宋体" w:hAnsi="宋体" w:eastAsia="宋体" w:cs="宋体"/>
        <w:sz w:val="28"/>
        <w:szCs w:val="28"/>
        <w:lang w:bidi="ar-SA"/>
      </w:rPr>
      <w:instrText xml:space="preserve"> PAGE   \* MERGEFORMAT </w:instrText>
    </w:r>
    <w:r>
      <w:rPr>
        <w:rFonts w:hint="eastAsia" w:ascii="宋体" w:hAnsi="宋体" w:eastAsia="宋体" w:cs="宋体"/>
        <w:sz w:val="28"/>
        <w:szCs w:val="28"/>
        <w:lang w:bidi="ar-SA"/>
      </w:rPr>
      <w:fldChar w:fldCharType="separate"/>
    </w:r>
    <w:r>
      <w:rPr>
        <w:rFonts w:hint="eastAsia" w:ascii="宋体" w:hAnsi="宋体" w:eastAsia="宋体" w:cs="宋体"/>
        <w:sz w:val="28"/>
        <w:szCs w:val="28"/>
        <w:lang w:val="zh-CN" w:eastAsia="zh-CN" w:bidi="ar-SA"/>
      </w:rPr>
      <w:t>1</w:t>
    </w:r>
    <w:r>
      <w:rPr>
        <w:rFonts w:hint="eastAsia" w:ascii="宋体" w:hAnsi="宋体" w:eastAsia="宋体" w:cs="宋体"/>
        <w:sz w:val="28"/>
        <w:szCs w:val="28"/>
        <w:lang w:bidi="ar-SA"/>
      </w:rPr>
      <w:fldChar w:fldCharType="end"/>
    </w:r>
    <w:r>
      <w:rPr>
        <w:rFonts w:hint="eastAsia" w:ascii="宋体" w:eastAsia="宋体"/>
        <w:sz w:val="28"/>
        <w:szCs w:val="28"/>
      </w:rPr>
      <w:t xml:space="preserve"> </w:t>
    </w:r>
    <w:r>
      <w:rPr>
        <w:rFonts w:hint="eastAsia"/>
        <w:sz w:val="28"/>
        <w:szCs w:val="2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529807">
    <w:pPr>
      <w:pStyle w:val="3"/>
      <w:tabs>
        <w:tab w:val="right" w:pos="8307"/>
        <w:tab w:val="clear" w:pos="8306"/>
      </w:tabs>
      <w:ind w:left="320" w:leftChars="100"/>
    </w:pPr>
    <w:r>
      <w:rPr>
        <w:rFonts w:hint="eastAsia"/>
        <w:sz w:val="28"/>
        <w:szCs w:val="28"/>
      </w:rPr>
      <w:t>―</w:t>
    </w:r>
    <w:r>
      <w:rPr>
        <w:rFonts w:hint="eastAsia" w:ascii="宋体" w:eastAsia="宋体"/>
        <w:sz w:val="28"/>
        <w:szCs w:val="28"/>
      </w:rPr>
      <w:t xml:space="preserve"> </w:t>
    </w:r>
    <w:r>
      <w:rPr>
        <w:rFonts w:hint="eastAsia" w:ascii="宋体" w:hAnsi="宋体" w:eastAsia="宋体" w:cs="宋体"/>
        <w:sz w:val="28"/>
        <w:szCs w:val="28"/>
        <w:lang w:bidi="ar-SA"/>
      </w:rPr>
      <w:fldChar w:fldCharType="begin"/>
    </w:r>
    <w:r>
      <w:rPr>
        <w:rFonts w:hint="eastAsia" w:ascii="宋体" w:hAnsi="宋体" w:eastAsia="宋体" w:cs="宋体"/>
        <w:sz w:val="28"/>
        <w:szCs w:val="28"/>
        <w:lang w:bidi="ar-SA"/>
      </w:rPr>
      <w:instrText xml:space="preserve"> PAGE   \* MERGEFORMAT </w:instrText>
    </w:r>
    <w:r>
      <w:rPr>
        <w:rFonts w:hint="eastAsia" w:ascii="宋体" w:hAnsi="宋体" w:eastAsia="宋体" w:cs="宋体"/>
        <w:sz w:val="28"/>
        <w:szCs w:val="28"/>
        <w:lang w:bidi="ar-SA"/>
      </w:rPr>
      <w:fldChar w:fldCharType="separate"/>
    </w:r>
    <w:r>
      <w:rPr>
        <w:rFonts w:hint="eastAsia" w:ascii="宋体" w:hAnsi="宋体" w:eastAsia="宋体" w:cs="宋体"/>
        <w:sz w:val="28"/>
        <w:szCs w:val="28"/>
        <w:lang w:val="zh-CN" w:eastAsia="zh-CN" w:bidi="ar-SA"/>
      </w:rPr>
      <w:t>1</w:t>
    </w:r>
    <w:r>
      <w:rPr>
        <w:rFonts w:hint="eastAsia" w:ascii="宋体" w:hAnsi="宋体" w:eastAsia="宋体" w:cs="宋体"/>
        <w:sz w:val="28"/>
        <w:szCs w:val="28"/>
        <w:lang w:bidi="ar-SA"/>
      </w:rPr>
      <w:fldChar w:fldCharType="end"/>
    </w:r>
    <w:r>
      <w:rPr>
        <w:rFonts w:hint="eastAsia" w:ascii="宋体" w:eastAsia="宋体"/>
        <w:sz w:val="28"/>
        <w:szCs w:val="28"/>
      </w:rPr>
      <w:t xml:space="preserve"> </w:t>
    </w:r>
    <w:r>
      <w:rPr>
        <w:rFonts w:hint="eastAsia"/>
        <w:sz w:val="28"/>
        <w:szCs w:val="28"/>
      </w:rPr>
      <w:t>―</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E15FB01"/>
    <w:multiLevelType w:val="singleLevel"/>
    <w:tmpl w:val="BE15FB01"/>
    <w:lvl w:ilvl="0" w:tentative="0">
      <w:start w:val="6"/>
      <w:numFmt w:val="chineseCounting"/>
      <w:suff w:val="nothing"/>
      <w:lvlText w:val="%1、"/>
      <w:lvlJc w:val="left"/>
      <w:rPr>
        <w:rFonts w:hint="eastAsia"/>
      </w:rPr>
    </w:lvl>
  </w:abstractNum>
  <w:abstractNum w:abstractNumId="1">
    <w:nsid w:val="BF018CFE"/>
    <w:multiLevelType w:val="singleLevel"/>
    <w:tmpl w:val="BF018CFE"/>
    <w:lvl w:ilvl="0" w:tentative="0">
      <w:start w:val="2"/>
      <w:numFmt w:val="chineseCounting"/>
      <w:suff w:val="nothing"/>
      <w:lvlText w:val="%1、"/>
      <w:lvlJc w:val="left"/>
      <w:rPr>
        <w:rFonts w:hint="eastAsia"/>
      </w:rPr>
    </w:lvl>
  </w:abstractNum>
  <w:abstractNum w:abstractNumId="2">
    <w:nsid w:val="C395FE23"/>
    <w:multiLevelType w:val="singleLevel"/>
    <w:tmpl w:val="C395FE23"/>
    <w:lvl w:ilvl="0" w:tentative="0">
      <w:start w:val="1"/>
      <w:numFmt w:val="decimal"/>
      <w:suff w:val="nothing"/>
      <w:lvlText w:val="（%1）"/>
      <w:lvlJc w:val="left"/>
    </w:lvl>
  </w:abstractNum>
  <w:abstractNum w:abstractNumId="3">
    <w:nsid w:val="C7DC43F0"/>
    <w:multiLevelType w:val="singleLevel"/>
    <w:tmpl w:val="C7DC43F0"/>
    <w:lvl w:ilvl="0" w:tentative="0">
      <w:start w:val="1"/>
      <w:numFmt w:val="decimal"/>
      <w:suff w:val="space"/>
      <w:lvlText w:val="%1."/>
      <w:lvlJc w:val="left"/>
    </w:lvl>
  </w:abstractNum>
  <w:abstractNum w:abstractNumId="4">
    <w:nsid w:val="170F8B3D"/>
    <w:multiLevelType w:val="singleLevel"/>
    <w:tmpl w:val="170F8B3D"/>
    <w:lvl w:ilvl="0" w:tentative="0">
      <w:start w:val="1"/>
      <w:numFmt w:val="decimal"/>
      <w:suff w:val="space"/>
      <w:lvlText w:val="%1."/>
      <w:lvlJc w:val="left"/>
    </w:lvl>
  </w:abstractNum>
  <w:abstractNum w:abstractNumId="5">
    <w:nsid w:val="36AF54E0"/>
    <w:multiLevelType w:val="singleLevel"/>
    <w:tmpl w:val="36AF54E0"/>
    <w:lvl w:ilvl="0" w:tentative="0">
      <w:start w:val="2"/>
      <w:numFmt w:val="decimal"/>
      <w:suff w:val="space"/>
      <w:lvlText w:val="%1."/>
      <w:lvlJc w:val="left"/>
    </w:lvl>
  </w:abstractNum>
  <w:abstractNum w:abstractNumId="6">
    <w:nsid w:val="6BB1AE55"/>
    <w:multiLevelType w:val="singleLevel"/>
    <w:tmpl w:val="6BB1AE55"/>
    <w:lvl w:ilvl="0" w:tentative="0">
      <w:start w:val="1"/>
      <w:numFmt w:val="chineseCounting"/>
      <w:suff w:val="nothing"/>
      <w:lvlText w:val="（%1）"/>
      <w:lvlJc w:val="left"/>
      <w:rPr>
        <w:rFonts w:hint="eastAsia"/>
      </w:rPr>
    </w:lvl>
  </w:abstractNum>
  <w:abstractNum w:abstractNumId="7">
    <w:nsid w:val="7FC6D37E"/>
    <w:multiLevelType w:val="singleLevel"/>
    <w:tmpl w:val="7FC6D37E"/>
    <w:lvl w:ilvl="0" w:tentative="0">
      <w:start w:val="2"/>
      <w:numFmt w:val="chineseCounting"/>
      <w:suff w:val="nothing"/>
      <w:lvlText w:val="（%1）"/>
      <w:lvlJc w:val="left"/>
      <w:rPr>
        <w:rFonts w:hint="eastAsia"/>
      </w:rPr>
    </w:lvl>
  </w:abstractNum>
  <w:num w:numId="1">
    <w:abstractNumId w:val="7"/>
  </w:num>
  <w:num w:numId="2">
    <w:abstractNumId w:val="1"/>
  </w:num>
  <w:num w:numId="3">
    <w:abstractNumId w:val="6"/>
  </w:num>
  <w:num w:numId="4">
    <w:abstractNumId w:val="4"/>
  </w:num>
  <w:num w:numId="5">
    <w:abstractNumId w:val="3"/>
  </w:num>
  <w:num w:numId="6">
    <w:abstractNumId w:val="2"/>
  </w:num>
  <w:num w:numId="7">
    <w:abstractNumId w:val="5"/>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evenAndOddHeaders w:val="1"/>
  <w:drawingGridHorizontalSpacing w:val="158"/>
  <w:drawingGridVerticalSpacing w:val="290"/>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7E12"/>
    <w:rsid w:val="0000051E"/>
    <w:rsid w:val="00001D33"/>
    <w:rsid w:val="000028C9"/>
    <w:rsid w:val="000155FC"/>
    <w:rsid w:val="000175BF"/>
    <w:rsid w:val="0001772A"/>
    <w:rsid w:val="00021540"/>
    <w:rsid w:val="00026535"/>
    <w:rsid w:val="00027CBA"/>
    <w:rsid w:val="00030BD4"/>
    <w:rsid w:val="0003485A"/>
    <w:rsid w:val="00034F55"/>
    <w:rsid w:val="000420EA"/>
    <w:rsid w:val="000427E2"/>
    <w:rsid w:val="00043D2E"/>
    <w:rsid w:val="00047C1B"/>
    <w:rsid w:val="00053EE9"/>
    <w:rsid w:val="00054D43"/>
    <w:rsid w:val="00054DCF"/>
    <w:rsid w:val="00054EB7"/>
    <w:rsid w:val="0005574C"/>
    <w:rsid w:val="0006070C"/>
    <w:rsid w:val="000639CF"/>
    <w:rsid w:val="00065200"/>
    <w:rsid w:val="00067A09"/>
    <w:rsid w:val="00073F65"/>
    <w:rsid w:val="000842FF"/>
    <w:rsid w:val="000A2CFA"/>
    <w:rsid w:val="000B27F1"/>
    <w:rsid w:val="000B3E51"/>
    <w:rsid w:val="000C15A3"/>
    <w:rsid w:val="000C7FE9"/>
    <w:rsid w:val="000D5121"/>
    <w:rsid w:val="000E0FCA"/>
    <w:rsid w:val="000E44AE"/>
    <w:rsid w:val="000E45ED"/>
    <w:rsid w:val="00100BE4"/>
    <w:rsid w:val="00102024"/>
    <w:rsid w:val="0011013E"/>
    <w:rsid w:val="0011190A"/>
    <w:rsid w:val="001136EF"/>
    <w:rsid w:val="00120138"/>
    <w:rsid w:val="00120AC5"/>
    <w:rsid w:val="001225CF"/>
    <w:rsid w:val="00122802"/>
    <w:rsid w:val="00122A47"/>
    <w:rsid w:val="00130AB7"/>
    <w:rsid w:val="001330DE"/>
    <w:rsid w:val="00134BAE"/>
    <w:rsid w:val="00141657"/>
    <w:rsid w:val="00141E8D"/>
    <w:rsid w:val="00146457"/>
    <w:rsid w:val="00147151"/>
    <w:rsid w:val="001570CA"/>
    <w:rsid w:val="001600A8"/>
    <w:rsid w:val="0016440F"/>
    <w:rsid w:val="00167113"/>
    <w:rsid w:val="00170AB6"/>
    <w:rsid w:val="001733C6"/>
    <w:rsid w:val="001760D0"/>
    <w:rsid w:val="00176E9E"/>
    <w:rsid w:val="00177282"/>
    <w:rsid w:val="0017754D"/>
    <w:rsid w:val="00177DDE"/>
    <w:rsid w:val="0018055E"/>
    <w:rsid w:val="0018417C"/>
    <w:rsid w:val="00186D29"/>
    <w:rsid w:val="00191922"/>
    <w:rsid w:val="00196B3B"/>
    <w:rsid w:val="001B4EBF"/>
    <w:rsid w:val="001D1F56"/>
    <w:rsid w:val="001D2188"/>
    <w:rsid w:val="001D2D97"/>
    <w:rsid w:val="001D39FC"/>
    <w:rsid w:val="001D469D"/>
    <w:rsid w:val="001D53A5"/>
    <w:rsid w:val="001E4338"/>
    <w:rsid w:val="001F35D7"/>
    <w:rsid w:val="001F6342"/>
    <w:rsid w:val="001F69D5"/>
    <w:rsid w:val="00203926"/>
    <w:rsid w:val="00206DF8"/>
    <w:rsid w:val="002074F7"/>
    <w:rsid w:val="002101FA"/>
    <w:rsid w:val="00213778"/>
    <w:rsid w:val="002148AC"/>
    <w:rsid w:val="00222B01"/>
    <w:rsid w:val="002247FE"/>
    <w:rsid w:val="00224B1E"/>
    <w:rsid w:val="00242193"/>
    <w:rsid w:val="00251D58"/>
    <w:rsid w:val="00252306"/>
    <w:rsid w:val="00255B14"/>
    <w:rsid w:val="00262C07"/>
    <w:rsid w:val="00271994"/>
    <w:rsid w:val="002726B1"/>
    <w:rsid w:val="00280812"/>
    <w:rsid w:val="002817B6"/>
    <w:rsid w:val="00283F54"/>
    <w:rsid w:val="00285CEF"/>
    <w:rsid w:val="00290EE3"/>
    <w:rsid w:val="002970E2"/>
    <w:rsid w:val="002A64DE"/>
    <w:rsid w:val="002B53DA"/>
    <w:rsid w:val="002B6DD1"/>
    <w:rsid w:val="002C1EC9"/>
    <w:rsid w:val="002C3116"/>
    <w:rsid w:val="002C7F37"/>
    <w:rsid w:val="002D0665"/>
    <w:rsid w:val="002D284A"/>
    <w:rsid w:val="002D60ED"/>
    <w:rsid w:val="002E2E5B"/>
    <w:rsid w:val="002F0CF5"/>
    <w:rsid w:val="002F5ADD"/>
    <w:rsid w:val="00302486"/>
    <w:rsid w:val="00314CB4"/>
    <w:rsid w:val="003178A1"/>
    <w:rsid w:val="00317958"/>
    <w:rsid w:val="003202F9"/>
    <w:rsid w:val="0032073C"/>
    <w:rsid w:val="00322ADF"/>
    <w:rsid w:val="00324B31"/>
    <w:rsid w:val="0033105A"/>
    <w:rsid w:val="00334EB0"/>
    <w:rsid w:val="0034207B"/>
    <w:rsid w:val="00344BF5"/>
    <w:rsid w:val="003450C0"/>
    <w:rsid w:val="00346494"/>
    <w:rsid w:val="00351DAC"/>
    <w:rsid w:val="00354334"/>
    <w:rsid w:val="00355F37"/>
    <w:rsid w:val="00362BC8"/>
    <w:rsid w:val="00363DA8"/>
    <w:rsid w:val="0036500E"/>
    <w:rsid w:val="00371DF3"/>
    <w:rsid w:val="0038006A"/>
    <w:rsid w:val="00391856"/>
    <w:rsid w:val="003961FF"/>
    <w:rsid w:val="00397B03"/>
    <w:rsid w:val="003B21E3"/>
    <w:rsid w:val="003B27FF"/>
    <w:rsid w:val="003B742A"/>
    <w:rsid w:val="003C12FB"/>
    <w:rsid w:val="003C40D4"/>
    <w:rsid w:val="003D081C"/>
    <w:rsid w:val="003D0BFF"/>
    <w:rsid w:val="003D6A6B"/>
    <w:rsid w:val="003F481B"/>
    <w:rsid w:val="003F48D1"/>
    <w:rsid w:val="00401C53"/>
    <w:rsid w:val="00404D9E"/>
    <w:rsid w:val="004135EA"/>
    <w:rsid w:val="00421B19"/>
    <w:rsid w:val="00422B0B"/>
    <w:rsid w:val="00422E47"/>
    <w:rsid w:val="00423211"/>
    <w:rsid w:val="004245F7"/>
    <w:rsid w:val="00426CE4"/>
    <w:rsid w:val="00426FEA"/>
    <w:rsid w:val="00431925"/>
    <w:rsid w:val="00432F81"/>
    <w:rsid w:val="00435247"/>
    <w:rsid w:val="004376FF"/>
    <w:rsid w:val="00441F50"/>
    <w:rsid w:val="004420F5"/>
    <w:rsid w:val="00446207"/>
    <w:rsid w:val="00460B50"/>
    <w:rsid w:val="00462A1B"/>
    <w:rsid w:val="0047102A"/>
    <w:rsid w:val="004767A0"/>
    <w:rsid w:val="00480634"/>
    <w:rsid w:val="00480DBB"/>
    <w:rsid w:val="0048149F"/>
    <w:rsid w:val="00490BD7"/>
    <w:rsid w:val="00492F86"/>
    <w:rsid w:val="00494936"/>
    <w:rsid w:val="004950DE"/>
    <w:rsid w:val="00495471"/>
    <w:rsid w:val="004A6381"/>
    <w:rsid w:val="004A7255"/>
    <w:rsid w:val="004B18A6"/>
    <w:rsid w:val="004B71FD"/>
    <w:rsid w:val="004B7C9D"/>
    <w:rsid w:val="004C041C"/>
    <w:rsid w:val="004C0428"/>
    <w:rsid w:val="004C1E46"/>
    <w:rsid w:val="004C2BBC"/>
    <w:rsid w:val="004D124F"/>
    <w:rsid w:val="004D20FC"/>
    <w:rsid w:val="004E451B"/>
    <w:rsid w:val="004E758F"/>
    <w:rsid w:val="004F0548"/>
    <w:rsid w:val="004F0AE7"/>
    <w:rsid w:val="004F4BAB"/>
    <w:rsid w:val="004F5255"/>
    <w:rsid w:val="00501E64"/>
    <w:rsid w:val="0050428A"/>
    <w:rsid w:val="0050454F"/>
    <w:rsid w:val="00505D0E"/>
    <w:rsid w:val="00533746"/>
    <w:rsid w:val="00546918"/>
    <w:rsid w:val="005507A2"/>
    <w:rsid w:val="00561338"/>
    <w:rsid w:val="00561975"/>
    <w:rsid w:val="00565117"/>
    <w:rsid w:val="0056679B"/>
    <w:rsid w:val="00573EC4"/>
    <w:rsid w:val="00583859"/>
    <w:rsid w:val="005901AA"/>
    <w:rsid w:val="005911E1"/>
    <w:rsid w:val="005A3116"/>
    <w:rsid w:val="005A5CCA"/>
    <w:rsid w:val="005A5FCF"/>
    <w:rsid w:val="005B100F"/>
    <w:rsid w:val="005B2D5D"/>
    <w:rsid w:val="005C38B2"/>
    <w:rsid w:val="005D16FF"/>
    <w:rsid w:val="005D2489"/>
    <w:rsid w:val="005D4003"/>
    <w:rsid w:val="005D4080"/>
    <w:rsid w:val="005D470C"/>
    <w:rsid w:val="005E1109"/>
    <w:rsid w:val="005E6EE3"/>
    <w:rsid w:val="005F0FF8"/>
    <w:rsid w:val="005F757D"/>
    <w:rsid w:val="00600C8F"/>
    <w:rsid w:val="00603082"/>
    <w:rsid w:val="00607E12"/>
    <w:rsid w:val="00611CA5"/>
    <w:rsid w:val="00620233"/>
    <w:rsid w:val="0062633A"/>
    <w:rsid w:val="00626848"/>
    <w:rsid w:val="0063222A"/>
    <w:rsid w:val="0063307E"/>
    <w:rsid w:val="00642C2A"/>
    <w:rsid w:val="006437B2"/>
    <w:rsid w:val="00664E32"/>
    <w:rsid w:val="0067039B"/>
    <w:rsid w:val="0068775B"/>
    <w:rsid w:val="00691CE0"/>
    <w:rsid w:val="00694365"/>
    <w:rsid w:val="006A2A65"/>
    <w:rsid w:val="006A566C"/>
    <w:rsid w:val="006A61DF"/>
    <w:rsid w:val="006B5DD7"/>
    <w:rsid w:val="006C1B21"/>
    <w:rsid w:val="006D014A"/>
    <w:rsid w:val="006D5786"/>
    <w:rsid w:val="006D6F59"/>
    <w:rsid w:val="006E1572"/>
    <w:rsid w:val="006E173D"/>
    <w:rsid w:val="006E538A"/>
    <w:rsid w:val="006F0EDC"/>
    <w:rsid w:val="006F3611"/>
    <w:rsid w:val="00701258"/>
    <w:rsid w:val="007036CD"/>
    <w:rsid w:val="00705A2B"/>
    <w:rsid w:val="00716862"/>
    <w:rsid w:val="007254E0"/>
    <w:rsid w:val="007278AE"/>
    <w:rsid w:val="00730852"/>
    <w:rsid w:val="00735715"/>
    <w:rsid w:val="00737BE2"/>
    <w:rsid w:val="00744FBD"/>
    <w:rsid w:val="007450D8"/>
    <w:rsid w:val="00755DA9"/>
    <w:rsid w:val="00755FDA"/>
    <w:rsid w:val="00757640"/>
    <w:rsid w:val="00761826"/>
    <w:rsid w:val="007654CC"/>
    <w:rsid w:val="00767D9E"/>
    <w:rsid w:val="00777274"/>
    <w:rsid w:val="00777FB0"/>
    <w:rsid w:val="0078049C"/>
    <w:rsid w:val="00784541"/>
    <w:rsid w:val="007874D6"/>
    <w:rsid w:val="007A3314"/>
    <w:rsid w:val="007A48F4"/>
    <w:rsid w:val="007A4C8D"/>
    <w:rsid w:val="007B0EC6"/>
    <w:rsid w:val="007B2F96"/>
    <w:rsid w:val="007C1250"/>
    <w:rsid w:val="007D00FC"/>
    <w:rsid w:val="007D0966"/>
    <w:rsid w:val="007D20F3"/>
    <w:rsid w:val="007D4338"/>
    <w:rsid w:val="007D6BFC"/>
    <w:rsid w:val="007D6CD1"/>
    <w:rsid w:val="007E2E16"/>
    <w:rsid w:val="007E3BD8"/>
    <w:rsid w:val="007E57F2"/>
    <w:rsid w:val="007E653A"/>
    <w:rsid w:val="007F3519"/>
    <w:rsid w:val="0080668B"/>
    <w:rsid w:val="0081318A"/>
    <w:rsid w:val="00814C3C"/>
    <w:rsid w:val="00817D1B"/>
    <w:rsid w:val="0082495C"/>
    <w:rsid w:val="0082609A"/>
    <w:rsid w:val="0083632B"/>
    <w:rsid w:val="00841059"/>
    <w:rsid w:val="00841718"/>
    <w:rsid w:val="00851C0B"/>
    <w:rsid w:val="0085432D"/>
    <w:rsid w:val="00855AB4"/>
    <w:rsid w:val="008561F1"/>
    <w:rsid w:val="0086134B"/>
    <w:rsid w:val="00864275"/>
    <w:rsid w:val="00872593"/>
    <w:rsid w:val="008846E9"/>
    <w:rsid w:val="00884DD1"/>
    <w:rsid w:val="00890399"/>
    <w:rsid w:val="00895F15"/>
    <w:rsid w:val="008A0636"/>
    <w:rsid w:val="008A2A01"/>
    <w:rsid w:val="008A38D6"/>
    <w:rsid w:val="008A3D1E"/>
    <w:rsid w:val="008A43C6"/>
    <w:rsid w:val="008A49F0"/>
    <w:rsid w:val="008B7D00"/>
    <w:rsid w:val="008C2879"/>
    <w:rsid w:val="008C6EB5"/>
    <w:rsid w:val="008D2EB9"/>
    <w:rsid w:val="008D41BD"/>
    <w:rsid w:val="008D4D00"/>
    <w:rsid w:val="008E7C26"/>
    <w:rsid w:val="008F2607"/>
    <w:rsid w:val="008F3774"/>
    <w:rsid w:val="0090051E"/>
    <w:rsid w:val="009061F1"/>
    <w:rsid w:val="00910307"/>
    <w:rsid w:val="0091131C"/>
    <w:rsid w:val="00911FA3"/>
    <w:rsid w:val="00917F50"/>
    <w:rsid w:val="0092046E"/>
    <w:rsid w:val="00926B68"/>
    <w:rsid w:val="009326D4"/>
    <w:rsid w:val="00942960"/>
    <w:rsid w:val="00952960"/>
    <w:rsid w:val="009571BF"/>
    <w:rsid w:val="0096181A"/>
    <w:rsid w:val="00970F5C"/>
    <w:rsid w:val="00980C64"/>
    <w:rsid w:val="00981617"/>
    <w:rsid w:val="00984F70"/>
    <w:rsid w:val="00995B9A"/>
    <w:rsid w:val="00995F22"/>
    <w:rsid w:val="00996706"/>
    <w:rsid w:val="0099789A"/>
    <w:rsid w:val="009A01A1"/>
    <w:rsid w:val="009A0F73"/>
    <w:rsid w:val="009A38B0"/>
    <w:rsid w:val="009A7B10"/>
    <w:rsid w:val="009B186D"/>
    <w:rsid w:val="009B46C1"/>
    <w:rsid w:val="009C7673"/>
    <w:rsid w:val="009D21EA"/>
    <w:rsid w:val="009E0942"/>
    <w:rsid w:val="009E153F"/>
    <w:rsid w:val="009F0A76"/>
    <w:rsid w:val="009F1C2B"/>
    <w:rsid w:val="009F42A2"/>
    <w:rsid w:val="009F782A"/>
    <w:rsid w:val="009F7F6C"/>
    <w:rsid w:val="00A04BBF"/>
    <w:rsid w:val="00A05764"/>
    <w:rsid w:val="00A05FE8"/>
    <w:rsid w:val="00A1783A"/>
    <w:rsid w:val="00A259D6"/>
    <w:rsid w:val="00A268FC"/>
    <w:rsid w:val="00A3654D"/>
    <w:rsid w:val="00A44FA7"/>
    <w:rsid w:val="00A4608B"/>
    <w:rsid w:val="00A55460"/>
    <w:rsid w:val="00A55D58"/>
    <w:rsid w:val="00A5629A"/>
    <w:rsid w:val="00A5637A"/>
    <w:rsid w:val="00A629AC"/>
    <w:rsid w:val="00A66921"/>
    <w:rsid w:val="00A67C22"/>
    <w:rsid w:val="00A722FB"/>
    <w:rsid w:val="00A73342"/>
    <w:rsid w:val="00A75E77"/>
    <w:rsid w:val="00A7769A"/>
    <w:rsid w:val="00A95599"/>
    <w:rsid w:val="00A96D56"/>
    <w:rsid w:val="00A974C1"/>
    <w:rsid w:val="00AA46CF"/>
    <w:rsid w:val="00AA5AB0"/>
    <w:rsid w:val="00AB0D59"/>
    <w:rsid w:val="00AB323C"/>
    <w:rsid w:val="00AB3AAE"/>
    <w:rsid w:val="00AB75A6"/>
    <w:rsid w:val="00AC1FF6"/>
    <w:rsid w:val="00AC5A32"/>
    <w:rsid w:val="00AC6807"/>
    <w:rsid w:val="00AD31B0"/>
    <w:rsid w:val="00AD43B9"/>
    <w:rsid w:val="00AD4486"/>
    <w:rsid w:val="00AD65C3"/>
    <w:rsid w:val="00AD7D0A"/>
    <w:rsid w:val="00AE2416"/>
    <w:rsid w:val="00AE2C0B"/>
    <w:rsid w:val="00AE76C2"/>
    <w:rsid w:val="00AF0307"/>
    <w:rsid w:val="00B0093A"/>
    <w:rsid w:val="00B057E0"/>
    <w:rsid w:val="00B07C2C"/>
    <w:rsid w:val="00B12E00"/>
    <w:rsid w:val="00B14F8C"/>
    <w:rsid w:val="00B15181"/>
    <w:rsid w:val="00B211A3"/>
    <w:rsid w:val="00B23783"/>
    <w:rsid w:val="00B316BA"/>
    <w:rsid w:val="00B41BE8"/>
    <w:rsid w:val="00B42D0C"/>
    <w:rsid w:val="00B463CF"/>
    <w:rsid w:val="00B54FA4"/>
    <w:rsid w:val="00B60D03"/>
    <w:rsid w:val="00B67091"/>
    <w:rsid w:val="00B81DAC"/>
    <w:rsid w:val="00B822EA"/>
    <w:rsid w:val="00B922A2"/>
    <w:rsid w:val="00B93851"/>
    <w:rsid w:val="00B94043"/>
    <w:rsid w:val="00B96B08"/>
    <w:rsid w:val="00BA33C7"/>
    <w:rsid w:val="00BA43B4"/>
    <w:rsid w:val="00BA43B8"/>
    <w:rsid w:val="00BA5FD9"/>
    <w:rsid w:val="00BB36E3"/>
    <w:rsid w:val="00BB4092"/>
    <w:rsid w:val="00BB771B"/>
    <w:rsid w:val="00BC4C57"/>
    <w:rsid w:val="00BC6593"/>
    <w:rsid w:val="00BC6C2F"/>
    <w:rsid w:val="00BD0E0D"/>
    <w:rsid w:val="00BD4AE7"/>
    <w:rsid w:val="00BD5A36"/>
    <w:rsid w:val="00BE14B9"/>
    <w:rsid w:val="00BE1EF6"/>
    <w:rsid w:val="00BE3720"/>
    <w:rsid w:val="00BE4944"/>
    <w:rsid w:val="00BE6245"/>
    <w:rsid w:val="00BF2DDD"/>
    <w:rsid w:val="00BF4EDC"/>
    <w:rsid w:val="00BF6572"/>
    <w:rsid w:val="00C0316B"/>
    <w:rsid w:val="00C10901"/>
    <w:rsid w:val="00C11001"/>
    <w:rsid w:val="00C20076"/>
    <w:rsid w:val="00C23D12"/>
    <w:rsid w:val="00C31EF7"/>
    <w:rsid w:val="00C3206D"/>
    <w:rsid w:val="00C33307"/>
    <w:rsid w:val="00C3371D"/>
    <w:rsid w:val="00C41417"/>
    <w:rsid w:val="00C4219E"/>
    <w:rsid w:val="00C4238E"/>
    <w:rsid w:val="00C4258A"/>
    <w:rsid w:val="00C45DE6"/>
    <w:rsid w:val="00C468C6"/>
    <w:rsid w:val="00C61402"/>
    <w:rsid w:val="00C66C12"/>
    <w:rsid w:val="00C66C81"/>
    <w:rsid w:val="00C7551A"/>
    <w:rsid w:val="00C811D2"/>
    <w:rsid w:val="00C84B8C"/>
    <w:rsid w:val="00C86109"/>
    <w:rsid w:val="00C93F35"/>
    <w:rsid w:val="00C95F82"/>
    <w:rsid w:val="00C97EAF"/>
    <w:rsid w:val="00CA01ED"/>
    <w:rsid w:val="00CA072F"/>
    <w:rsid w:val="00CB6C8A"/>
    <w:rsid w:val="00CB71B8"/>
    <w:rsid w:val="00CC29D1"/>
    <w:rsid w:val="00CC6E15"/>
    <w:rsid w:val="00CD2BD0"/>
    <w:rsid w:val="00CD341A"/>
    <w:rsid w:val="00CD7B97"/>
    <w:rsid w:val="00CE4584"/>
    <w:rsid w:val="00CF2F76"/>
    <w:rsid w:val="00CF3987"/>
    <w:rsid w:val="00CF487D"/>
    <w:rsid w:val="00D01565"/>
    <w:rsid w:val="00D02C02"/>
    <w:rsid w:val="00D03EFD"/>
    <w:rsid w:val="00D04855"/>
    <w:rsid w:val="00D06AE0"/>
    <w:rsid w:val="00D1341C"/>
    <w:rsid w:val="00D1398B"/>
    <w:rsid w:val="00D13DA7"/>
    <w:rsid w:val="00D162A8"/>
    <w:rsid w:val="00D20046"/>
    <w:rsid w:val="00D21A4A"/>
    <w:rsid w:val="00D3017F"/>
    <w:rsid w:val="00D311F3"/>
    <w:rsid w:val="00D3507F"/>
    <w:rsid w:val="00D35A65"/>
    <w:rsid w:val="00D363D0"/>
    <w:rsid w:val="00D36CE6"/>
    <w:rsid w:val="00D41FA5"/>
    <w:rsid w:val="00D4306E"/>
    <w:rsid w:val="00D44633"/>
    <w:rsid w:val="00D4526D"/>
    <w:rsid w:val="00D479F4"/>
    <w:rsid w:val="00D53260"/>
    <w:rsid w:val="00D556D1"/>
    <w:rsid w:val="00D6004F"/>
    <w:rsid w:val="00D669F9"/>
    <w:rsid w:val="00D706B6"/>
    <w:rsid w:val="00D811F9"/>
    <w:rsid w:val="00DA0593"/>
    <w:rsid w:val="00DA3692"/>
    <w:rsid w:val="00DB79E0"/>
    <w:rsid w:val="00DD14B2"/>
    <w:rsid w:val="00DD6BBC"/>
    <w:rsid w:val="00DE0EDD"/>
    <w:rsid w:val="00DE3005"/>
    <w:rsid w:val="00DE735E"/>
    <w:rsid w:val="00DF32B3"/>
    <w:rsid w:val="00DF3B9C"/>
    <w:rsid w:val="00DF5874"/>
    <w:rsid w:val="00DF5A8E"/>
    <w:rsid w:val="00E115ED"/>
    <w:rsid w:val="00E20FA3"/>
    <w:rsid w:val="00E24893"/>
    <w:rsid w:val="00E46647"/>
    <w:rsid w:val="00E4699A"/>
    <w:rsid w:val="00E5411A"/>
    <w:rsid w:val="00E6183C"/>
    <w:rsid w:val="00E64255"/>
    <w:rsid w:val="00E6527B"/>
    <w:rsid w:val="00E70C3D"/>
    <w:rsid w:val="00E71DE9"/>
    <w:rsid w:val="00E735E7"/>
    <w:rsid w:val="00E77357"/>
    <w:rsid w:val="00E805E8"/>
    <w:rsid w:val="00E8343D"/>
    <w:rsid w:val="00E9151E"/>
    <w:rsid w:val="00E93825"/>
    <w:rsid w:val="00E950F2"/>
    <w:rsid w:val="00E97BF1"/>
    <w:rsid w:val="00EA2F62"/>
    <w:rsid w:val="00EA5AF8"/>
    <w:rsid w:val="00EB25A6"/>
    <w:rsid w:val="00EB5255"/>
    <w:rsid w:val="00EC12FF"/>
    <w:rsid w:val="00EC5F49"/>
    <w:rsid w:val="00ED45DD"/>
    <w:rsid w:val="00ED5569"/>
    <w:rsid w:val="00EE3026"/>
    <w:rsid w:val="00EE3420"/>
    <w:rsid w:val="00EE7078"/>
    <w:rsid w:val="00EF5946"/>
    <w:rsid w:val="00EF72EA"/>
    <w:rsid w:val="00F04C79"/>
    <w:rsid w:val="00F11494"/>
    <w:rsid w:val="00F1390F"/>
    <w:rsid w:val="00F167C8"/>
    <w:rsid w:val="00F169A5"/>
    <w:rsid w:val="00F21E28"/>
    <w:rsid w:val="00F258A9"/>
    <w:rsid w:val="00F27C63"/>
    <w:rsid w:val="00F328C2"/>
    <w:rsid w:val="00F41CB0"/>
    <w:rsid w:val="00F424BF"/>
    <w:rsid w:val="00F43A19"/>
    <w:rsid w:val="00F44036"/>
    <w:rsid w:val="00F50C39"/>
    <w:rsid w:val="00F6171D"/>
    <w:rsid w:val="00F62963"/>
    <w:rsid w:val="00F62E68"/>
    <w:rsid w:val="00F7292B"/>
    <w:rsid w:val="00F72D44"/>
    <w:rsid w:val="00F8320C"/>
    <w:rsid w:val="00F86344"/>
    <w:rsid w:val="00F969D6"/>
    <w:rsid w:val="00F96D6E"/>
    <w:rsid w:val="00F96E01"/>
    <w:rsid w:val="00FA0345"/>
    <w:rsid w:val="00FB0A36"/>
    <w:rsid w:val="00FB0D1C"/>
    <w:rsid w:val="00FB2583"/>
    <w:rsid w:val="00FB5BA5"/>
    <w:rsid w:val="00FC4290"/>
    <w:rsid w:val="00FD5C48"/>
    <w:rsid w:val="00FD6A34"/>
    <w:rsid w:val="00FE24BC"/>
    <w:rsid w:val="00FE3A24"/>
    <w:rsid w:val="00FF02D5"/>
    <w:rsid w:val="01626E33"/>
    <w:rsid w:val="017A2F9F"/>
    <w:rsid w:val="01B67107"/>
    <w:rsid w:val="01FA65AD"/>
    <w:rsid w:val="020F6D27"/>
    <w:rsid w:val="02217C74"/>
    <w:rsid w:val="026359B2"/>
    <w:rsid w:val="026B7642"/>
    <w:rsid w:val="02AC542A"/>
    <w:rsid w:val="038E49EB"/>
    <w:rsid w:val="03A45696"/>
    <w:rsid w:val="03B74B35"/>
    <w:rsid w:val="03D862B6"/>
    <w:rsid w:val="03FB4D0B"/>
    <w:rsid w:val="045B484E"/>
    <w:rsid w:val="047349B5"/>
    <w:rsid w:val="047841EE"/>
    <w:rsid w:val="04A56073"/>
    <w:rsid w:val="04AD2B7D"/>
    <w:rsid w:val="04E841EF"/>
    <w:rsid w:val="05081AD1"/>
    <w:rsid w:val="052E6699"/>
    <w:rsid w:val="057728DC"/>
    <w:rsid w:val="05912D04"/>
    <w:rsid w:val="05C1448E"/>
    <w:rsid w:val="05C1761D"/>
    <w:rsid w:val="05D90398"/>
    <w:rsid w:val="05E52FAD"/>
    <w:rsid w:val="060A24AD"/>
    <w:rsid w:val="07640956"/>
    <w:rsid w:val="07A34544"/>
    <w:rsid w:val="08190B33"/>
    <w:rsid w:val="08607386"/>
    <w:rsid w:val="08A234FA"/>
    <w:rsid w:val="08B33959"/>
    <w:rsid w:val="08C10882"/>
    <w:rsid w:val="08C7668D"/>
    <w:rsid w:val="08CC205B"/>
    <w:rsid w:val="08DB1609"/>
    <w:rsid w:val="09327D67"/>
    <w:rsid w:val="097859D4"/>
    <w:rsid w:val="09823D8A"/>
    <w:rsid w:val="09C9617E"/>
    <w:rsid w:val="0A280DE4"/>
    <w:rsid w:val="0A2D21B2"/>
    <w:rsid w:val="0A751EDD"/>
    <w:rsid w:val="0AB177F2"/>
    <w:rsid w:val="0AB319EF"/>
    <w:rsid w:val="0AEC3562"/>
    <w:rsid w:val="0B447CC4"/>
    <w:rsid w:val="0B5C19F8"/>
    <w:rsid w:val="0B6B4922"/>
    <w:rsid w:val="0B840250"/>
    <w:rsid w:val="0BBB1C03"/>
    <w:rsid w:val="0BBD1CFB"/>
    <w:rsid w:val="0BC63C92"/>
    <w:rsid w:val="0BCF17F7"/>
    <w:rsid w:val="0C1A7343"/>
    <w:rsid w:val="0C3C56A3"/>
    <w:rsid w:val="0C3E1C6B"/>
    <w:rsid w:val="0C8D0553"/>
    <w:rsid w:val="0C994F52"/>
    <w:rsid w:val="0CB6160D"/>
    <w:rsid w:val="0D4A231C"/>
    <w:rsid w:val="0DBA0DC1"/>
    <w:rsid w:val="0DCE605A"/>
    <w:rsid w:val="0E39045D"/>
    <w:rsid w:val="0E5158C5"/>
    <w:rsid w:val="0EA66A76"/>
    <w:rsid w:val="0EAD6E68"/>
    <w:rsid w:val="0EB15612"/>
    <w:rsid w:val="0ECF621B"/>
    <w:rsid w:val="0EFB5876"/>
    <w:rsid w:val="0F107EE3"/>
    <w:rsid w:val="0F2A4845"/>
    <w:rsid w:val="0F3B4594"/>
    <w:rsid w:val="0F4603E9"/>
    <w:rsid w:val="0F5D6174"/>
    <w:rsid w:val="0F8109EA"/>
    <w:rsid w:val="0F931176"/>
    <w:rsid w:val="0FC0132B"/>
    <w:rsid w:val="0FCF39BD"/>
    <w:rsid w:val="100A1A0C"/>
    <w:rsid w:val="1016071E"/>
    <w:rsid w:val="10325A41"/>
    <w:rsid w:val="10656E2F"/>
    <w:rsid w:val="1084224C"/>
    <w:rsid w:val="10DB232E"/>
    <w:rsid w:val="1113718A"/>
    <w:rsid w:val="114859F3"/>
    <w:rsid w:val="12554B29"/>
    <w:rsid w:val="12AD3E7D"/>
    <w:rsid w:val="12C42FA0"/>
    <w:rsid w:val="12C7072D"/>
    <w:rsid w:val="12D35C61"/>
    <w:rsid w:val="12E0359D"/>
    <w:rsid w:val="12EA2F1A"/>
    <w:rsid w:val="130558D9"/>
    <w:rsid w:val="13424E21"/>
    <w:rsid w:val="137F545A"/>
    <w:rsid w:val="13801D6F"/>
    <w:rsid w:val="13841A7B"/>
    <w:rsid w:val="138B759A"/>
    <w:rsid w:val="13F46315"/>
    <w:rsid w:val="140D076E"/>
    <w:rsid w:val="140E2407"/>
    <w:rsid w:val="141F1F10"/>
    <w:rsid w:val="14611714"/>
    <w:rsid w:val="14CF05AD"/>
    <w:rsid w:val="14CF3275"/>
    <w:rsid w:val="14E8356B"/>
    <w:rsid w:val="14EB3F48"/>
    <w:rsid w:val="14FD41CB"/>
    <w:rsid w:val="15546C2C"/>
    <w:rsid w:val="158240BB"/>
    <w:rsid w:val="160D5A33"/>
    <w:rsid w:val="164B77DE"/>
    <w:rsid w:val="164E5E0B"/>
    <w:rsid w:val="16A11295"/>
    <w:rsid w:val="170830C2"/>
    <w:rsid w:val="17532A55"/>
    <w:rsid w:val="17932EDC"/>
    <w:rsid w:val="17A36DDB"/>
    <w:rsid w:val="17A532AB"/>
    <w:rsid w:val="180B07AE"/>
    <w:rsid w:val="181A2360"/>
    <w:rsid w:val="181F4708"/>
    <w:rsid w:val="18221462"/>
    <w:rsid w:val="184F1121"/>
    <w:rsid w:val="185B2A86"/>
    <w:rsid w:val="18C66253"/>
    <w:rsid w:val="18CD5743"/>
    <w:rsid w:val="197B50D2"/>
    <w:rsid w:val="19926875"/>
    <w:rsid w:val="19EC0A79"/>
    <w:rsid w:val="1A297DDD"/>
    <w:rsid w:val="1A7919B9"/>
    <w:rsid w:val="1AD35C64"/>
    <w:rsid w:val="1AD5150D"/>
    <w:rsid w:val="1AF5570C"/>
    <w:rsid w:val="1B1350D9"/>
    <w:rsid w:val="1B866CAC"/>
    <w:rsid w:val="1B9A7C0E"/>
    <w:rsid w:val="1B9B203B"/>
    <w:rsid w:val="1BFD1CC9"/>
    <w:rsid w:val="1C96385A"/>
    <w:rsid w:val="1CE92F5C"/>
    <w:rsid w:val="1D437979"/>
    <w:rsid w:val="1D4708B1"/>
    <w:rsid w:val="1D656164"/>
    <w:rsid w:val="1E312EFF"/>
    <w:rsid w:val="1E8900BD"/>
    <w:rsid w:val="1ECB269E"/>
    <w:rsid w:val="1EE66C3C"/>
    <w:rsid w:val="1EF96BEA"/>
    <w:rsid w:val="1F002D16"/>
    <w:rsid w:val="1F116510"/>
    <w:rsid w:val="1F1C3B7B"/>
    <w:rsid w:val="200551AB"/>
    <w:rsid w:val="205932DE"/>
    <w:rsid w:val="20A03801"/>
    <w:rsid w:val="20BC5FF2"/>
    <w:rsid w:val="219D4F8D"/>
    <w:rsid w:val="222807B1"/>
    <w:rsid w:val="22435D4E"/>
    <w:rsid w:val="2245419D"/>
    <w:rsid w:val="22FE317D"/>
    <w:rsid w:val="237704D4"/>
    <w:rsid w:val="23891077"/>
    <w:rsid w:val="23A1558C"/>
    <w:rsid w:val="23BE50B1"/>
    <w:rsid w:val="2422161E"/>
    <w:rsid w:val="246E6851"/>
    <w:rsid w:val="24942E5E"/>
    <w:rsid w:val="24954F65"/>
    <w:rsid w:val="24C7511E"/>
    <w:rsid w:val="257F04AC"/>
    <w:rsid w:val="25E53B95"/>
    <w:rsid w:val="25EB17AB"/>
    <w:rsid w:val="25FF1317"/>
    <w:rsid w:val="26487E8F"/>
    <w:rsid w:val="266362EA"/>
    <w:rsid w:val="26791D53"/>
    <w:rsid w:val="268A5041"/>
    <w:rsid w:val="269A59A1"/>
    <w:rsid w:val="26D96305"/>
    <w:rsid w:val="26E96527"/>
    <w:rsid w:val="27293F76"/>
    <w:rsid w:val="275642B6"/>
    <w:rsid w:val="2797346E"/>
    <w:rsid w:val="27984D8A"/>
    <w:rsid w:val="27CC625C"/>
    <w:rsid w:val="27FF1758"/>
    <w:rsid w:val="28026E78"/>
    <w:rsid w:val="28406D20"/>
    <w:rsid w:val="285745A9"/>
    <w:rsid w:val="28604488"/>
    <w:rsid w:val="28706D19"/>
    <w:rsid w:val="287F60B2"/>
    <w:rsid w:val="29696297"/>
    <w:rsid w:val="297011FE"/>
    <w:rsid w:val="29F90436"/>
    <w:rsid w:val="29FF1B5A"/>
    <w:rsid w:val="2A254E63"/>
    <w:rsid w:val="2A275D31"/>
    <w:rsid w:val="2AE168E0"/>
    <w:rsid w:val="2B2F33CE"/>
    <w:rsid w:val="2B762790"/>
    <w:rsid w:val="2BAC2B14"/>
    <w:rsid w:val="2BC73FBA"/>
    <w:rsid w:val="2BFF60E5"/>
    <w:rsid w:val="2C0042E3"/>
    <w:rsid w:val="2C0D59AC"/>
    <w:rsid w:val="2C2D5D74"/>
    <w:rsid w:val="2C334F61"/>
    <w:rsid w:val="2C3D20DB"/>
    <w:rsid w:val="2C71221F"/>
    <w:rsid w:val="2C715093"/>
    <w:rsid w:val="2CF75D34"/>
    <w:rsid w:val="2DDB0952"/>
    <w:rsid w:val="2E0221C2"/>
    <w:rsid w:val="2E0C46C8"/>
    <w:rsid w:val="2E2A738E"/>
    <w:rsid w:val="2E4A0CBE"/>
    <w:rsid w:val="2EAB46F5"/>
    <w:rsid w:val="2EC6420A"/>
    <w:rsid w:val="2EE8585B"/>
    <w:rsid w:val="2EF3059D"/>
    <w:rsid w:val="2F1C3DF2"/>
    <w:rsid w:val="2F1C4D7A"/>
    <w:rsid w:val="2F2C0A85"/>
    <w:rsid w:val="2F414FFF"/>
    <w:rsid w:val="2F8D5831"/>
    <w:rsid w:val="2FA6445E"/>
    <w:rsid w:val="2FAC25DB"/>
    <w:rsid w:val="2FAF3097"/>
    <w:rsid w:val="2FB617C0"/>
    <w:rsid w:val="3005243D"/>
    <w:rsid w:val="300C6664"/>
    <w:rsid w:val="30450B4E"/>
    <w:rsid w:val="30465275"/>
    <w:rsid w:val="31061102"/>
    <w:rsid w:val="31A04CAD"/>
    <w:rsid w:val="31A70211"/>
    <w:rsid w:val="31B15053"/>
    <w:rsid w:val="31FB3AF8"/>
    <w:rsid w:val="320A79AF"/>
    <w:rsid w:val="3256082B"/>
    <w:rsid w:val="327D7E69"/>
    <w:rsid w:val="32826152"/>
    <w:rsid w:val="32EC51EE"/>
    <w:rsid w:val="33116010"/>
    <w:rsid w:val="331546C4"/>
    <w:rsid w:val="331C5AD4"/>
    <w:rsid w:val="333F5C66"/>
    <w:rsid w:val="33656AA9"/>
    <w:rsid w:val="33782EB9"/>
    <w:rsid w:val="33A16094"/>
    <w:rsid w:val="33E6234B"/>
    <w:rsid w:val="33F80618"/>
    <w:rsid w:val="340E49EF"/>
    <w:rsid w:val="3465554A"/>
    <w:rsid w:val="34983DE3"/>
    <w:rsid w:val="34A64D07"/>
    <w:rsid w:val="34B10AAC"/>
    <w:rsid w:val="34BF6C35"/>
    <w:rsid w:val="34F5635F"/>
    <w:rsid w:val="354811BC"/>
    <w:rsid w:val="35521A2B"/>
    <w:rsid w:val="355E472E"/>
    <w:rsid w:val="359E40E8"/>
    <w:rsid w:val="35C22B6B"/>
    <w:rsid w:val="35D5640E"/>
    <w:rsid w:val="35EA737B"/>
    <w:rsid w:val="36706ADF"/>
    <w:rsid w:val="36833C5C"/>
    <w:rsid w:val="36A129F2"/>
    <w:rsid w:val="36B3095D"/>
    <w:rsid w:val="36D22597"/>
    <w:rsid w:val="371719A6"/>
    <w:rsid w:val="371E35B2"/>
    <w:rsid w:val="37564D03"/>
    <w:rsid w:val="37751EC2"/>
    <w:rsid w:val="37C77C1E"/>
    <w:rsid w:val="388010B8"/>
    <w:rsid w:val="38FA6DBA"/>
    <w:rsid w:val="390E5CB1"/>
    <w:rsid w:val="39474657"/>
    <w:rsid w:val="394E2214"/>
    <w:rsid w:val="399A1E48"/>
    <w:rsid w:val="39A10C32"/>
    <w:rsid w:val="39B527DE"/>
    <w:rsid w:val="39CC7911"/>
    <w:rsid w:val="39E44839"/>
    <w:rsid w:val="3A457B72"/>
    <w:rsid w:val="3A4A2286"/>
    <w:rsid w:val="3AA6726B"/>
    <w:rsid w:val="3AE82075"/>
    <w:rsid w:val="3B017FBE"/>
    <w:rsid w:val="3B307A72"/>
    <w:rsid w:val="3B567FF1"/>
    <w:rsid w:val="3B5F0C53"/>
    <w:rsid w:val="3B9335A4"/>
    <w:rsid w:val="3B992613"/>
    <w:rsid w:val="3BB24F73"/>
    <w:rsid w:val="3BCD490E"/>
    <w:rsid w:val="3BDB6726"/>
    <w:rsid w:val="3C056780"/>
    <w:rsid w:val="3C0B3B20"/>
    <w:rsid w:val="3C1860E9"/>
    <w:rsid w:val="3C265FAB"/>
    <w:rsid w:val="3C45620B"/>
    <w:rsid w:val="3C7249B6"/>
    <w:rsid w:val="3D7312A1"/>
    <w:rsid w:val="3D8F2FFE"/>
    <w:rsid w:val="3D8F779B"/>
    <w:rsid w:val="3DB31849"/>
    <w:rsid w:val="3E15702B"/>
    <w:rsid w:val="3E247857"/>
    <w:rsid w:val="3E5C76CC"/>
    <w:rsid w:val="3E984240"/>
    <w:rsid w:val="3EAD34C3"/>
    <w:rsid w:val="3EBE7C37"/>
    <w:rsid w:val="3F120426"/>
    <w:rsid w:val="3F1976B6"/>
    <w:rsid w:val="3F3B3785"/>
    <w:rsid w:val="3F5E6431"/>
    <w:rsid w:val="3F8C0907"/>
    <w:rsid w:val="3F9B5E29"/>
    <w:rsid w:val="3FC03C8B"/>
    <w:rsid w:val="400454FD"/>
    <w:rsid w:val="40552C1F"/>
    <w:rsid w:val="4057229F"/>
    <w:rsid w:val="405F7DEE"/>
    <w:rsid w:val="40992FB0"/>
    <w:rsid w:val="40DB7824"/>
    <w:rsid w:val="410115DD"/>
    <w:rsid w:val="41032081"/>
    <w:rsid w:val="418A21AD"/>
    <w:rsid w:val="41A212A1"/>
    <w:rsid w:val="41D1217F"/>
    <w:rsid w:val="41EC42BB"/>
    <w:rsid w:val="4239228E"/>
    <w:rsid w:val="428A1304"/>
    <w:rsid w:val="42E44C98"/>
    <w:rsid w:val="431B6113"/>
    <w:rsid w:val="438834DF"/>
    <w:rsid w:val="43A20A3C"/>
    <w:rsid w:val="440B4462"/>
    <w:rsid w:val="444C66C3"/>
    <w:rsid w:val="44630F9F"/>
    <w:rsid w:val="446A3603"/>
    <w:rsid w:val="451F1453"/>
    <w:rsid w:val="458B573C"/>
    <w:rsid w:val="45CE60A3"/>
    <w:rsid w:val="461C57E1"/>
    <w:rsid w:val="46236D21"/>
    <w:rsid w:val="464D2106"/>
    <w:rsid w:val="46572A53"/>
    <w:rsid w:val="465B2718"/>
    <w:rsid w:val="46651F6D"/>
    <w:rsid w:val="46BE763A"/>
    <w:rsid w:val="46C178CC"/>
    <w:rsid w:val="46F31024"/>
    <w:rsid w:val="46FD3AFE"/>
    <w:rsid w:val="471E0A34"/>
    <w:rsid w:val="4723739A"/>
    <w:rsid w:val="47250EF5"/>
    <w:rsid w:val="47C21415"/>
    <w:rsid w:val="48206AB3"/>
    <w:rsid w:val="4849652E"/>
    <w:rsid w:val="487415C1"/>
    <w:rsid w:val="48813383"/>
    <w:rsid w:val="48994869"/>
    <w:rsid w:val="489B6E47"/>
    <w:rsid w:val="48B91344"/>
    <w:rsid w:val="48C3403D"/>
    <w:rsid w:val="48E56510"/>
    <w:rsid w:val="4901682D"/>
    <w:rsid w:val="491F1E3E"/>
    <w:rsid w:val="497E4D40"/>
    <w:rsid w:val="49804BB7"/>
    <w:rsid w:val="498D6EB3"/>
    <w:rsid w:val="49A14844"/>
    <w:rsid w:val="4A38329E"/>
    <w:rsid w:val="4A5D0A54"/>
    <w:rsid w:val="4A6E2C61"/>
    <w:rsid w:val="4A786E7C"/>
    <w:rsid w:val="4A812037"/>
    <w:rsid w:val="4ABF0429"/>
    <w:rsid w:val="4B05514E"/>
    <w:rsid w:val="4B7D224D"/>
    <w:rsid w:val="4B88354F"/>
    <w:rsid w:val="4B897577"/>
    <w:rsid w:val="4BA739F3"/>
    <w:rsid w:val="4BAA41B4"/>
    <w:rsid w:val="4BCA5B3F"/>
    <w:rsid w:val="4BCB2F27"/>
    <w:rsid w:val="4BEF3793"/>
    <w:rsid w:val="4BF4339D"/>
    <w:rsid w:val="4C8B29AF"/>
    <w:rsid w:val="4C995F8F"/>
    <w:rsid w:val="4CA010BB"/>
    <w:rsid w:val="4CBA3F1B"/>
    <w:rsid w:val="4CC1550E"/>
    <w:rsid w:val="4CCB5B06"/>
    <w:rsid w:val="4D0A37F3"/>
    <w:rsid w:val="4D380018"/>
    <w:rsid w:val="4D585803"/>
    <w:rsid w:val="4D7D0483"/>
    <w:rsid w:val="4D8712EF"/>
    <w:rsid w:val="4DFC778B"/>
    <w:rsid w:val="4E2D0EEC"/>
    <w:rsid w:val="4E4C4964"/>
    <w:rsid w:val="4E5F365E"/>
    <w:rsid w:val="4E91728C"/>
    <w:rsid w:val="4E9D1D67"/>
    <w:rsid w:val="4EDE5EDB"/>
    <w:rsid w:val="4EF42EFE"/>
    <w:rsid w:val="4F147B4F"/>
    <w:rsid w:val="4FDE358A"/>
    <w:rsid w:val="501832A3"/>
    <w:rsid w:val="50632B28"/>
    <w:rsid w:val="50C63B0F"/>
    <w:rsid w:val="50D13F4A"/>
    <w:rsid w:val="50F36C04"/>
    <w:rsid w:val="51011AC0"/>
    <w:rsid w:val="51086CD3"/>
    <w:rsid w:val="511B035E"/>
    <w:rsid w:val="512B6610"/>
    <w:rsid w:val="517A3160"/>
    <w:rsid w:val="51D53FD0"/>
    <w:rsid w:val="52701540"/>
    <w:rsid w:val="527F0375"/>
    <w:rsid w:val="528D4348"/>
    <w:rsid w:val="52BF3EA5"/>
    <w:rsid w:val="52E5462F"/>
    <w:rsid w:val="53030193"/>
    <w:rsid w:val="531427EC"/>
    <w:rsid w:val="531C785E"/>
    <w:rsid w:val="533770C8"/>
    <w:rsid w:val="5338243A"/>
    <w:rsid w:val="53964FD7"/>
    <w:rsid w:val="53BD0CC2"/>
    <w:rsid w:val="53E84DC7"/>
    <w:rsid w:val="54091EFA"/>
    <w:rsid w:val="543B42DA"/>
    <w:rsid w:val="54481E7C"/>
    <w:rsid w:val="54E64A90"/>
    <w:rsid w:val="54EF1C22"/>
    <w:rsid w:val="54F43EB0"/>
    <w:rsid w:val="55025399"/>
    <w:rsid w:val="55631682"/>
    <w:rsid w:val="55913DE9"/>
    <w:rsid w:val="55B36956"/>
    <w:rsid w:val="55BC0A87"/>
    <w:rsid w:val="55C44EE3"/>
    <w:rsid w:val="55CD6DBF"/>
    <w:rsid w:val="55D409AB"/>
    <w:rsid w:val="55F3226C"/>
    <w:rsid w:val="560E70A6"/>
    <w:rsid w:val="564C33E3"/>
    <w:rsid w:val="565A5E3A"/>
    <w:rsid w:val="56AA311A"/>
    <w:rsid w:val="56B357D4"/>
    <w:rsid w:val="56F40992"/>
    <w:rsid w:val="576B630C"/>
    <w:rsid w:val="57707A82"/>
    <w:rsid w:val="57906076"/>
    <w:rsid w:val="57F77E8D"/>
    <w:rsid w:val="584101D8"/>
    <w:rsid w:val="584366A5"/>
    <w:rsid w:val="58464AEC"/>
    <w:rsid w:val="58D37D03"/>
    <w:rsid w:val="58F80B81"/>
    <w:rsid w:val="59171D29"/>
    <w:rsid w:val="594B64BC"/>
    <w:rsid w:val="59C1394B"/>
    <w:rsid w:val="59E4333B"/>
    <w:rsid w:val="5A146C55"/>
    <w:rsid w:val="5A327175"/>
    <w:rsid w:val="5A461F67"/>
    <w:rsid w:val="5A4D12DB"/>
    <w:rsid w:val="5AA95942"/>
    <w:rsid w:val="5B9A1A90"/>
    <w:rsid w:val="5BEA616D"/>
    <w:rsid w:val="5C620610"/>
    <w:rsid w:val="5C7C27CC"/>
    <w:rsid w:val="5C8E6646"/>
    <w:rsid w:val="5CA1473C"/>
    <w:rsid w:val="5D0631CD"/>
    <w:rsid w:val="5D700646"/>
    <w:rsid w:val="5D743AF2"/>
    <w:rsid w:val="5D784DB7"/>
    <w:rsid w:val="5D804113"/>
    <w:rsid w:val="5D86298B"/>
    <w:rsid w:val="5DF574B1"/>
    <w:rsid w:val="5DFB2606"/>
    <w:rsid w:val="5E01598A"/>
    <w:rsid w:val="5E0518AE"/>
    <w:rsid w:val="5E7319C7"/>
    <w:rsid w:val="5F3F14B1"/>
    <w:rsid w:val="5F4A1944"/>
    <w:rsid w:val="5F585836"/>
    <w:rsid w:val="5F736A1C"/>
    <w:rsid w:val="5F7A755A"/>
    <w:rsid w:val="5F7C1524"/>
    <w:rsid w:val="61431576"/>
    <w:rsid w:val="61B07674"/>
    <w:rsid w:val="61D16983"/>
    <w:rsid w:val="63B16DA6"/>
    <w:rsid w:val="640F6E0B"/>
    <w:rsid w:val="642163B9"/>
    <w:rsid w:val="64325BAA"/>
    <w:rsid w:val="6474563E"/>
    <w:rsid w:val="64DD2E2F"/>
    <w:rsid w:val="650C79CC"/>
    <w:rsid w:val="651F0B40"/>
    <w:rsid w:val="654A3BA1"/>
    <w:rsid w:val="65720792"/>
    <w:rsid w:val="65727ED4"/>
    <w:rsid w:val="658D11B9"/>
    <w:rsid w:val="65A15618"/>
    <w:rsid w:val="660467A7"/>
    <w:rsid w:val="66471D7C"/>
    <w:rsid w:val="667D6EFB"/>
    <w:rsid w:val="66FD7813"/>
    <w:rsid w:val="67825ED9"/>
    <w:rsid w:val="67A0385B"/>
    <w:rsid w:val="67B37940"/>
    <w:rsid w:val="686C2A53"/>
    <w:rsid w:val="689C4BB9"/>
    <w:rsid w:val="68A245E2"/>
    <w:rsid w:val="68B0544A"/>
    <w:rsid w:val="68F640F6"/>
    <w:rsid w:val="690F3CAF"/>
    <w:rsid w:val="6A0C28CE"/>
    <w:rsid w:val="6A650A4D"/>
    <w:rsid w:val="6B7060C6"/>
    <w:rsid w:val="6C60029B"/>
    <w:rsid w:val="6C6E6699"/>
    <w:rsid w:val="6C927168"/>
    <w:rsid w:val="6CAE7E6D"/>
    <w:rsid w:val="6D8C5247"/>
    <w:rsid w:val="6E904287"/>
    <w:rsid w:val="6E9F0D8B"/>
    <w:rsid w:val="6EA83056"/>
    <w:rsid w:val="6EB55F1D"/>
    <w:rsid w:val="6EBE51FD"/>
    <w:rsid w:val="6EF364B6"/>
    <w:rsid w:val="6F2540A9"/>
    <w:rsid w:val="700B56BF"/>
    <w:rsid w:val="700F5C73"/>
    <w:rsid w:val="70817FC6"/>
    <w:rsid w:val="70AF0E0B"/>
    <w:rsid w:val="70C87CAA"/>
    <w:rsid w:val="70CF179B"/>
    <w:rsid w:val="71723BF8"/>
    <w:rsid w:val="71B459C5"/>
    <w:rsid w:val="71CB4143"/>
    <w:rsid w:val="72035AD5"/>
    <w:rsid w:val="721C092E"/>
    <w:rsid w:val="723D7934"/>
    <w:rsid w:val="727266B8"/>
    <w:rsid w:val="72804A5F"/>
    <w:rsid w:val="72C81D24"/>
    <w:rsid w:val="73075151"/>
    <w:rsid w:val="73510736"/>
    <w:rsid w:val="73772C48"/>
    <w:rsid w:val="73B34B68"/>
    <w:rsid w:val="73C87749"/>
    <w:rsid w:val="73CE6808"/>
    <w:rsid w:val="742D20BE"/>
    <w:rsid w:val="74300B51"/>
    <w:rsid w:val="74373E1F"/>
    <w:rsid w:val="74557B08"/>
    <w:rsid w:val="745909D3"/>
    <w:rsid w:val="74757604"/>
    <w:rsid w:val="74D15A17"/>
    <w:rsid w:val="756026FD"/>
    <w:rsid w:val="757027FD"/>
    <w:rsid w:val="764C7835"/>
    <w:rsid w:val="76606237"/>
    <w:rsid w:val="76BC0040"/>
    <w:rsid w:val="76E97240"/>
    <w:rsid w:val="77547F95"/>
    <w:rsid w:val="77581BDC"/>
    <w:rsid w:val="77DF77F2"/>
    <w:rsid w:val="77F53FBA"/>
    <w:rsid w:val="77FE3901"/>
    <w:rsid w:val="78A056D5"/>
    <w:rsid w:val="78B612F9"/>
    <w:rsid w:val="78B86F01"/>
    <w:rsid w:val="78BD180A"/>
    <w:rsid w:val="78BD2213"/>
    <w:rsid w:val="78CA62AD"/>
    <w:rsid w:val="79383F91"/>
    <w:rsid w:val="796C56F2"/>
    <w:rsid w:val="79DA4CD9"/>
    <w:rsid w:val="79DC3C10"/>
    <w:rsid w:val="79F32D29"/>
    <w:rsid w:val="7A170370"/>
    <w:rsid w:val="7A3031E0"/>
    <w:rsid w:val="7A5F3AF6"/>
    <w:rsid w:val="7A640644"/>
    <w:rsid w:val="7A66765A"/>
    <w:rsid w:val="7AB07AB2"/>
    <w:rsid w:val="7B7C3CE3"/>
    <w:rsid w:val="7B84301F"/>
    <w:rsid w:val="7B937DA9"/>
    <w:rsid w:val="7BB813CF"/>
    <w:rsid w:val="7BFB159A"/>
    <w:rsid w:val="7C240326"/>
    <w:rsid w:val="7C5365EF"/>
    <w:rsid w:val="7C5F4A2B"/>
    <w:rsid w:val="7C6E6F9B"/>
    <w:rsid w:val="7C724B1A"/>
    <w:rsid w:val="7DDB79A8"/>
    <w:rsid w:val="7DE6477E"/>
    <w:rsid w:val="7E17286F"/>
    <w:rsid w:val="7E265B35"/>
    <w:rsid w:val="7E395726"/>
    <w:rsid w:val="7E54076D"/>
    <w:rsid w:val="7E836D97"/>
    <w:rsid w:val="7E891110"/>
    <w:rsid w:val="7E8E73EF"/>
    <w:rsid w:val="7EF23A73"/>
    <w:rsid w:val="7F4A4D43"/>
    <w:rsid w:val="7F523D4E"/>
    <w:rsid w:val="7F7D4793"/>
    <w:rsid w:val="F3FD6B2F"/>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方正仿宋_GBK" w:cs="Times New Roman"/>
      <w:kern w:val="2"/>
      <w:sz w:val="32"/>
      <w:szCs w:val="22"/>
      <w:lang w:val="en-US" w:eastAsia="zh-CN" w:bidi="ar-SA"/>
    </w:rPr>
  </w:style>
  <w:style w:type="character" w:default="1" w:styleId="7">
    <w:name w:val="Default Paragraph Font"/>
    <w:unhideWhenUsed/>
    <w:qFormat/>
    <w:uiPriority w:val="1"/>
  </w:style>
  <w:style w:type="table" w:default="1" w:styleId="6">
    <w:name w:val="Normal Table"/>
    <w:unhideWhenUsed/>
    <w:qFormat/>
    <w:uiPriority w:val="99"/>
    <w:tblPr>
      <w:tblCellMar>
        <w:top w:w="0" w:type="dxa"/>
        <w:left w:w="108" w:type="dxa"/>
        <w:bottom w:w="0" w:type="dxa"/>
        <w:right w:w="108" w:type="dxa"/>
      </w:tblCellMar>
    </w:tblPr>
  </w:style>
  <w:style w:type="paragraph" w:styleId="2">
    <w:name w:val="Balloon Text"/>
    <w:basedOn w:val="1"/>
    <w:link w:val="13"/>
    <w:unhideWhenUsed/>
    <w:qFormat/>
    <w:uiPriority w:val="99"/>
    <w:rPr>
      <w:sz w:val="18"/>
      <w:szCs w:val="18"/>
    </w:rPr>
  </w:style>
  <w:style w:type="paragraph" w:styleId="3">
    <w:name w:val="footer"/>
    <w:basedOn w:val="1"/>
    <w:link w:val="12"/>
    <w:unhideWhenUsed/>
    <w:qFormat/>
    <w:uiPriority w:val="99"/>
    <w:pPr>
      <w:tabs>
        <w:tab w:val="center" w:pos="4153"/>
        <w:tab w:val="right" w:pos="8306"/>
      </w:tabs>
      <w:snapToGrid w:val="0"/>
      <w:jc w:val="left"/>
    </w:pPr>
    <w:rPr>
      <w:sz w:val="18"/>
      <w:szCs w:val="18"/>
    </w:rPr>
  </w:style>
  <w:style w:type="paragraph" w:styleId="4">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8">
    <w:name w:val="Strong"/>
    <w:basedOn w:val="7"/>
    <w:qFormat/>
    <w:uiPriority w:val="0"/>
    <w:rPr>
      <w:b/>
    </w:rPr>
  </w:style>
  <w:style w:type="paragraph" w:styleId="9">
    <w:name w:val="List Paragraph"/>
    <w:basedOn w:val="1"/>
    <w:qFormat/>
    <w:uiPriority w:val="34"/>
    <w:pPr>
      <w:ind w:firstLine="420" w:firstLineChars="200"/>
    </w:pPr>
  </w:style>
  <w:style w:type="paragraph" w:customStyle="1" w:styleId="10">
    <w:name w:val="普通(网站) Char"/>
    <w:basedOn w:val="1"/>
    <w:qFormat/>
    <w:uiPriority w:val="0"/>
    <w:pPr>
      <w:spacing w:before="100" w:beforeAutospacing="1" w:after="100" w:afterAutospacing="1"/>
      <w:ind w:left="0" w:right="0"/>
      <w:jc w:val="left"/>
    </w:pPr>
    <w:rPr>
      <w:rFonts w:hint="eastAsia" w:ascii="宋体" w:hAnsi="宋体" w:eastAsia="宋体" w:cs="宋体"/>
      <w:kern w:val="0"/>
      <w:sz w:val="24"/>
      <w:szCs w:val="24"/>
      <w:lang w:val="en-US" w:eastAsia="zh-CN" w:bidi="ar"/>
    </w:rPr>
  </w:style>
  <w:style w:type="character" w:customStyle="1" w:styleId="11">
    <w:name w:val="页眉 字符"/>
    <w:link w:val="4"/>
    <w:qFormat/>
    <w:uiPriority w:val="99"/>
    <w:rPr>
      <w:sz w:val="18"/>
      <w:szCs w:val="18"/>
    </w:rPr>
  </w:style>
  <w:style w:type="character" w:customStyle="1" w:styleId="12">
    <w:name w:val="页脚 字符"/>
    <w:link w:val="3"/>
    <w:qFormat/>
    <w:uiPriority w:val="99"/>
    <w:rPr>
      <w:sz w:val="18"/>
      <w:szCs w:val="18"/>
    </w:rPr>
  </w:style>
  <w:style w:type="character" w:customStyle="1" w:styleId="13">
    <w:name w:val="批注框文本 字符"/>
    <w:link w:val="2"/>
    <w:semiHidden/>
    <w:qFormat/>
    <w:uiPriority w:val="99"/>
    <w:rPr>
      <w:kern w:val="2"/>
      <w:sz w:val="18"/>
      <w:szCs w:val="18"/>
    </w:rPr>
  </w:style>
  <w:style w:type="character" w:customStyle="1" w:styleId="14">
    <w:name w:val="23"/>
    <w:basedOn w:val="7"/>
    <w:qFormat/>
    <w:uiPriority w:val="0"/>
    <w:rPr>
      <w:rFonts w:hint="default" w:ascii="Times New Roman" w:hAnsi="Times New Roman" w:cs="Times New Roman"/>
      <w:b/>
    </w:rPr>
  </w:style>
  <w:style w:type="character" w:customStyle="1" w:styleId="15">
    <w:name w:val="页脚 Char"/>
    <w:qFormat/>
    <w:uiPriority w:val="99"/>
    <w:rPr>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微软中国</Company>
  <Pages>19</Pages>
  <Words>6843</Words>
  <Characters>7842</Characters>
  <Lines>16</Lines>
  <Paragraphs>4</Paragraphs>
  <TotalTime>9</TotalTime>
  <ScaleCrop>false</ScaleCrop>
  <LinksUpToDate>false</LinksUpToDate>
  <CharactersWithSpaces>7846</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2021-07-06T14:32:00Z</dcterms:created>
  <dc:creator>微软用户</dc:creator>
  <cp:lastModifiedBy>苏杨</cp:lastModifiedBy>
  <cp:lastPrinted>2025-08-15T06:46:55Z</cp:lastPrinted>
  <dcterms:modified xsi:type="dcterms:W3CDTF">2025-08-15T07:08:05Z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D886A924E24445AD9347FE2297F11913_13</vt:lpwstr>
  </property>
  <property fmtid="{D5CDD505-2E9C-101B-9397-08002B2CF9AE}" pid="4" name="KSOTemplateDocerSaveRecord">
    <vt:lpwstr>eyJoZGlkIjoiNTc1MmMyNjk4Y2U3MzA1MTFkYTM5MTliYTE2MzRiOTEiLCJ1c2VySWQiOiI3NzYzMDk0NzgifQ==</vt:lpwstr>
  </property>
</Properties>
</file>