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9A777">
      <w:pPr>
        <w:keepNext w:val="0"/>
        <w:keepLines w:val="0"/>
        <w:pageBreakBefore w:val="0"/>
        <w:kinsoku/>
        <w:wordWrap/>
        <w:overflowPunct/>
        <w:topLinePunct w:val="0"/>
        <w:autoSpaceDN/>
        <w:bidi w:val="0"/>
        <w:snapToGrid/>
        <w:spacing w:line="579" w:lineRule="exact"/>
        <w:jc w:val="center"/>
        <w:textAlignment w:val="auto"/>
        <w:rPr>
          <w:rFonts w:hint="default"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重庆市江津区政务服务管理办公室（本级）</w:t>
      </w:r>
    </w:p>
    <w:p w14:paraId="7D21DE44">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14:paraId="7EED4EF8">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14:paraId="5D6AC828">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43AEA4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60DFC2D7">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sz w:val="32"/>
        </w:rPr>
        <w:t>重庆市江津区政务服务管理办公室的职能职责：1.贯彻落实党中央国务院、市委市政</w:t>
      </w:r>
      <w:bookmarkStart w:id="0" w:name="_GoBack"/>
      <w:bookmarkEnd w:id="0"/>
      <w:r>
        <w:rPr>
          <w:rFonts w:hint="eastAsia" w:ascii="宋体" w:hAnsi="宋体" w:eastAsia="方正仿宋_GBK" w:cs="方正仿宋_GBK"/>
          <w:sz w:val="32"/>
        </w:rPr>
        <w:t>府、区委区政府转变政府职能和“放管服”改革有关方针政策，制定转变政府职能、优化政务服务、改善营商环境相应制度、办法、措施并组织实施，承担重庆市江津区人民政府推进政府职能转变和“放管服”改革协调小组办公室日常工作。2.负责牵头推进全区简政放权、放管结合、优化服务工作，完善政务服务管理体制，牵头推进营商环境建设。3.承担行政审批制度改革的组织、执行和指导职责。对区级各部门办理行政审批和公共服务事项的工作实施统一管理。承担重庆市江津区行政审批制度改革办公室日常工作。4.承担区级行政权力事项和公共服务事项清单管理工作，指导镇级行政权力事项和公共服务事项清单管理工作，牵头负责市级行政审批事项的承接、取消、调整工作；牵头负责对区级平台和各镇（街道）放权的审查、指导及运行情况评估工作；牵头建立事中事后监管机制。5.负责区、镇（街道）、村（社区）三级服务体系建设管理，统筹指导、督促区行政服务中心及分中心行政审批服务便民化工作，组织开展业务培训。牵头推进实体大厅规范化建设和网上大厅融合发展。6.负责开展政务服务标准化建设，指导、督促三级服务中心、政府职能部门落实政务服务事项、流程、服务、场所、监督检查评价标准。7.负责推进、指导、协调、监督全区的政府信息公开工作。8.负责全区政府系统电子政务发展和政务信息资源的规划、协调和指导，负责统筹全区电子政务外网网络、全区政务共享应用平台、区政府信息公开平台的建设管理，负责全区政府系统政务机房集约化的建设管理，统筹、指导各镇（街道）、政府各部门电子政务建设。9.负责推进“互联网+政务服务”，开展一体化政务服务平台建设，开展网上审批服务，对全区政务服务效能开展电子监察。10.负责全区服务群众工作中民生事项的研判、分析，统筹服务群众工作系统的运行管理。11.负责规范、健全全区政务服务、电子政务、政务公开的工作机制，开展日常监管和考核工作。受理有关政务服务、电子政务和政务公开的咨询、投诉、建议工作。12.完成区委、区政府交办的其他任务。</w:t>
      </w:r>
    </w:p>
    <w:p w14:paraId="32117D4B">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14:paraId="663F5D9D">
      <w:pPr>
        <w:keepNext w:val="0"/>
        <w:keepLines w:val="0"/>
        <w:pageBreakBefore w:val="0"/>
        <w:numPr>
          <w:ilvl w:val="0"/>
          <w:numId w:val="0"/>
        </w:numPr>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sz w:val="32"/>
        </w:rPr>
      </w:pPr>
      <w:r>
        <w:rPr>
          <w:rFonts w:hint="eastAsia" w:ascii="宋体" w:hAnsi="宋体" w:eastAsia="方正仿宋_GBK" w:cs="方正仿宋_GBK"/>
          <w:sz w:val="32"/>
        </w:rPr>
        <w:t>重庆市江津区政务服务管理办公室下属事业单位2个：重庆市江津区行政服务中心、重庆市江津区电子政务服务中心。</w:t>
      </w:r>
    </w:p>
    <w:p w14:paraId="6DDF55EE">
      <w:pPr>
        <w:keepNext w:val="0"/>
        <w:keepLines w:val="0"/>
        <w:pageBreakBefore w:val="0"/>
        <w:numPr>
          <w:ilvl w:val="0"/>
          <w:numId w:val="0"/>
        </w:numPr>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sz w:val="32"/>
        </w:rPr>
        <w:t>重庆市江津区政务服务管理办公室设3个内设机构：综合科、政务服务管理科（重庆市江津区行政审批制度改革办公室）、效能监察科。</w:t>
      </w:r>
    </w:p>
    <w:p w14:paraId="706EB792">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14:paraId="3ACD3352">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70439C0B">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1821万元，支出总计1821万元。收支较上年增加357.68万元，增长24.44%，主要原因为2023年补发退休人员2021年一次性健康休养费1.34万元，2024年人员工资调标增加0.56万元，人员经费共减少0.78万元；公用经费较2023年弥补人员经费开支减少，公用经费增加1.93万元；2024年物业管理费、电子政务平台运维项目增加350.50万元，新增大数据短信服务、电子政务外网数据交换和链路租赁项目296.08万元，共增加646.58万元；2023年一次性项目31.51万元，2024年减少依申请公开诉讼代理、政务公开经费、优化营商环境调研、疫情防控费用项目11.47万元，2024年食堂运行经费、营商环境宣传、政务服务中心水电费项目减少247.06万元，共减少290.04万元。合计2024年增加357.68万元。</w:t>
      </w:r>
    </w:p>
    <w:p w14:paraId="6FBC320E">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1821万元，较上年增加357.68万元，增长24.44%，主要原因为2023年补发退休人员2021年一次性健康休养费1.34万元，2024年人员工资调标增加0.56万元，人员经费共减少0.78万元；公用经费较2023年弥补人员经费开支减少，公用经费增加1.93万元；2024年物业管理费、电子政务平台运维项目增加350.50万元，新增大数据短信服务、电子政务外网数据交换和链路租赁项目296.08万元，共增加646.58万元；2023年一次性项目31.51万元，2024年减少依申请公开诉讼代理、政务公开经费、优化营商环境调研、疫情防控费用项目11.47万元，2024年食堂运行经费、营商环境宣传、政务服务中心水电费项目减少247.06万元，共减少290.04万元。合计2024年增加357.68万元。其中：财政拨款收入1821万元，占比100%；事业收入0万元，占比0%；其他收入0万元，占比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14:paraId="79579471">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2024年度本年支出合计1821万元，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w:t>
      </w:r>
      <w:r>
        <w:rPr>
          <w:rFonts w:hint="eastAsia" w:ascii="宋体" w:hAnsi="宋体" w:eastAsia="方正仿宋_GBK" w:cs="方正仿宋_GBK"/>
          <w:sz w:val="32"/>
        </w:rPr>
        <w:t>增加</w:t>
      </w:r>
      <w:r>
        <w:rPr>
          <w:rFonts w:hint="eastAsia" w:ascii="宋体" w:hAnsi="宋体" w:eastAsia="方正仿宋_GBK" w:cs="方正仿宋_GBK"/>
          <w:sz w:val="32"/>
          <w:lang w:val="en-US" w:eastAsia="zh-CN"/>
        </w:rPr>
        <w:t>357.68</w:t>
      </w:r>
      <w:r>
        <w:rPr>
          <w:rFonts w:hint="eastAsia" w:ascii="宋体" w:hAnsi="宋体" w:eastAsia="方正仿宋_GBK" w:cs="方正仿宋_GBK"/>
          <w:sz w:val="32"/>
        </w:rPr>
        <w:t>万元，</w:t>
      </w:r>
      <w:r>
        <w:rPr>
          <w:rFonts w:hint="eastAsia" w:ascii="宋体" w:hAnsi="宋体" w:eastAsia="方正仿宋_GBK" w:cs="方正仿宋_GBK"/>
          <w:b w:val="0"/>
          <w:bCs w:val="0"/>
          <w:sz w:val="32"/>
          <w:szCs w:val="32"/>
          <w:lang w:val="en-US" w:eastAsia="zh-CN"/>
        </w:rPr>
        <w:t>增长24.44%，</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2023年补发退休人员2021年一次性健康休养费1.34万元，2024年人员工资调标增加0.56万元，人员经费共减少0.78万元；公用经费较2023年弥补人员经费开支减少，公用经费增加1.93万元；2024年物业管理费、电子政务平台运维项目增加350.50万元，新增大数据短信服务、电子政务外网数据交换和链路租赁项目296.08万元，共增加646.58万元；2023年一次性项目31.51万元，2024年减少依申请公开诉讼代理、政务公开经费、优化营商环境调研、疫情防控费用项目11.47万元，2024年食堂运行经费、营商环境宣传、政务服务中心水电费项目减少247.06万元，共减少290.04万元。合计2024年增加357.68万元。</w:t>
      </w:r>
      <w:r>
        <w:rPr>
          <w:rFonts w:hint="eastAsia" w:ascii="宋体" w:hAnsi="宋体" w:eastAsia="方正仿宋_GBK" w:cs="方正仿宋_GBK"/>
          <w:b w:val="0"/>
          <w:bCs w:val="0"/>
          <w:sz w:val="32"/>
          <w:szCs w:val="32"/>
          <w:lang w:val="en-US" w:eastAsia="zh-CN"/>
        </w:rPr>
        <w:t>其中：基本支出275.79万元，占比15.14%；项目支出1545.21万元，占比84.86%。</w:t>
      </w:r>
    </w:p>
    <w:p w14:paraId="0276F865">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2024年度年末结转和结余0万元，与2023年度持平，主要原因是均无年末结转和结余</w:t>
      </w:r>
      <w:r>
        <w:rPr>
          <w:rFonts w:hint="eastAsia" w:ascii="宋体" w:hAnsi="宋体" w:eastAsia="方正仿宋_GBK" w:cs="方正仿宋_GBK"/>
          <w:kern w:val="0"/>
          <w:sz w:val="32"/>
          <w:szCs w:val="32"/>
          <w:lang w:val="en-US" w:eastAsia="zh-CN"/>
        </w:rPr>
        <w:t>。</w:t>
      </w:r>
    </w:p>
    <w:p w14:paraId="0E1CD63F">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04B95B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2024年度财政拨款收入总计1821万元，支出总计1821万元。</w:t>
      </w:r>
      <w:r>
        <w:rPr>
          <w:rFonts w:hint="eastAsia" w:ascii="宋体" w:hAnsi="宋体" w:eastAsia="方正仿宋_GBK" w:cs="方正仿宋_GBK"/>
          <w:sz w:val="32"/>
        </w:rPr>
        <w:t>收支较上年增加</w:t>
      </w:r>
      <w:r>
        <w:rPr>
          <w:rFonts w:hint="eastAsia" w:ascii="宋体" w:hAnsi="宋体" w:eastAsia="方正仿宋_GBK" w:cs="方正仿宋_GBK"/>
          <w:sz w:val="32"/>
          <w:lang w:val="en-US" w:eastAsia="zh-CN"/>
        </w:rPr>
        <w:t>357.68</w:t>
      </w:r>
      <w:r>
        <w:rPr>
          <w:rFonts w:hint="eastAsia" w:ascii="宋体" w:hAnsi="宋体" w:eastAsia="方正仿宋_GBK" w:cs="方正仿宋_GBK"/>
          <w:sz w:val="32"/>
        </w:rPr>
        <w:t>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增长24.44%，</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2023年补发退休人员2021年一次性健康休养费1.34万元，2024年人员工资调标增加0.56万元，人员经费共减少0.78万元；公用经费较2023年弥补人员经费开支减少，公用经费增加1.93万元；2024年物业管理费、电子政务平台运维项目增加350.50万元，新增大数据短信服务、电子政务外网数据交换和链路租赁项目296.08万元，共增加646.58万元；2023年一次性项目31.51万元，2024年减少依申请公开诉讼代理、政务公开经费、优化营商环境调研、疫情防控费用项目11.47万元，2024年食堂运行经费、营商环境宣传、政务服务中心水电费项目减少247.06万元，共减少290.04万元。合计2024年增加357.68万元。</w:t>
      </w:r>
    </w:p>
    <w:p w14:paraId="330AA6A0">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40E517AA">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color w:val="auto"/>
          <w:sz w:val="32"/>
          <w:lang w:val="en-US" w:eastAsia="zh-CN"/>
        </w:rPr>
        <w:t>1821</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决算数增加357.68</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增长24.44</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2023年补发退休人员2021年一次性健康休养费1.34万元，2024年人员工资调标增加0.56万元，人员经费共减少0.78万元；公用经费较2023年弥补人员经费开支减少，公用经费增加1.93万元；2024年物业管理费、电子政务平台运维项目增加350.50万元，新增大数据短信服务、电子政务外网数据交换和链路租赁项目296.08万元，共增加646.58万元；2023年一次性项目31.51万元，2024年减少依申请公开诉讼代理、政务公开经费、优化营商环境调研、疫情防控费用项目11.47万元，2024年食堂运行经费、营商环境宣传、政务服务中心水电费项目减少247.06万元，共减少290.04万元。合计2024年增加357.68万元。较年初预算数减少435.49万元，下降19.30%，主要原因是政务服务中心水电费据实结算，营商环境和政务服务宣传项目年中追减经费，电子政务平台运维、电子政务外网数据交换服务和链路租赁项目按合同约定仅支付部分费用，预算数按照合同金额下达。</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14:paraId="2087B761">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2024年度一般公共预算财政拨款支出1821万元，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增加357.68</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增长24.44</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主要原因是</w:t>
      </w:r>
      <w:r>
        <w:rPr>
          <w:rFonts w:hint="eastAsia" w:ascii="宋体" w:hAnsi="宋体" w:eastAsia="方正仿宋_GBK" w:cs="方正仿宋_GBK"/>
          <w:color w:val="auto"/>
          <w:sz w:val="32"/>
          <w:lang w:val="en-US" w:eastAsia="zh-CN"/>
        </w:rPr>
        <w:t>2023年补发退休人员2021年一次性健康休养费1.34万元，2024年人员工资调标增加0.56万元，人员经费共减少0.78万元；公用经费较2023年弥补人员经费开支减少，公用经费增加1.93万元；2024年物业管理费、电子政务平台运维项目增加350.50万元，新增大数据短信服务、电子政务外网数据交换和链路租赁项目296.08万元，共增加646.58万元；2023年一次性项目31.51万元，2024年减少依申请公开诉讼代理、政务公开经费、优化营商环境调研、疫情防控费用项目11.47万元，2024年食堂运行经费、营商环境宣传、政务服务中心水电费项目减少247.06万元，共减少290.04万元。合计2024年增加357.68万元。较年初预算数减少435.49万元，下降19.30%，主要原因是政务服务中心水电费据实结算，营商环境和政务服务宣传项目年中追减经费，电子政务平台运维、电子政务外网数据交换服务和链路租赁项目按合同约定仅支付部分费用，预算数按照合同金额下达。</w:t>
      </w:r>
    </w:p>
    <w:p w14:paraId="3DE0E203">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w:t>
      </w:r>
      <w:r>
        <w:rPr>
          <w:rFonts w:hint="eastAsia" w:ascii="方正仿宋_GBK" w:hAnsi="方正仿宋_GBK" w:eastAsia="方正仿宋_GBK" w:cs="方正仿宋_GBK"/>
          <w:sz w:val="32"/>
          <w:szCs w:val="32"/>
          <w:shd w:val="clear" w:color="auto" w:fill="FFFFFF"/>
        </w:rPr>
        <w:t>持平，主要原因是无年末结转结余资金</w:t>
      </w:r>
      <w:r>
        <w:rPr>
          <w:rFonts w:hint="eastAsia" w:ascii="方正仿宋_GBK" w:hAnsi="方正仿宋_GBK" w:eastAsia="方正仿宋_GBK" w:cs="方正仿宋_GBK"/>
          <w:sz w:val="32"/>
          <w:szCs w:val="32"/>
          <w:shd w:val="clear" w:color="auto" w:fill="FFFFFF"/>
          <w:lang w:val="en-US" w:eastAsia="zh-CN"/>
        </w:rPr>
        <w:t>。</w:t>
      </w:r>
    </w:p>
    <w:p w14:paraId="39BCE5E2">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14:paraId="1BFAC719">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一般公共服务支出1750.98万元，占比96.16%。较年初预算数减少434.14万元，下降19.87%，主要原因是政务服务中心水电费据实结算，营商环境和政务服务宣传项目年中追减经费，电子政务平台运维、电子政务外网数据交换服务和链路租赁项目按合同约定仅支付部分费用，预算数按照合同金额下达。</w:t>
      </w:r>
    </w:p>
    <w:p w14:paraId="55658CD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（2）教育支出0.73万元，占比0.04%。较年初预算数减少0.57万元，下降43.85%，主要原因是2024年在市内开展培训活动，仅支付租车费、用餐费等费用，培训次数较少。</w:t>
      </w:r>
    </w:p>
    <w:p w14:paraId="79E7DB9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（3）社会保障和就业支出34.22万元，占1.88%，较年初预算数减少0.64万元，下降1.84%，主要原因是养老保险基数按照2023年全年工资性收入计算，预算按照2023年10月工资数据计算，计算方式有出入，预算数较大。</w:t>
      </w:r>
    </w:p>
    <w:p w14:paraId="272683D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（4）卫生健康支出16.63万元，占0.91%，较年初预算数减少0.14万元，下降0.83%，主要原因是社保基数按照2023年全年工资性收入计算，预算按照2023年10月工资数据计算，计算方式有出入，预算数较大。</w:t>
      </w:r>
    </w:p>
    <w:p w14:paraId="7930074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（5）住房保障支出18.44万元，占1.01%，较年初预算数无增减，主要原因是与预算数持平。</w:t>
      </w:r>
    </w:p>
    <w:p w14:paraId="2585855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（四）一般公共预算财政拨款基本支出情况</w:t>
      </w:r>
    </w:p>
    <w:p w14:paraId="196533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275.79万元。其中：人员经费231.32万元，主要用于基本工资、津贴补贴、奖金、机关事业单位基本养老保险缴费、职业年金缴费、社会保障缴费、住房公积金等，较上年决算数减少0.78万元，下降0.34%，主要原因是2023年补发退休人员2021年一次性健康休养费1.34万元，2024年人员工资调标增加0.56万元，较2023年共减少0.78万元。公用经费44.47万元，主要用于办公费、水费、电费、邮电费、差旅费、维修（护）费、会议费、培训费、公务接待费、劳务费、委托业务费、工会经费、福利费、其他交通费用、其他商品和服务支出，较上年决算数增加1.93万元，增长4.54%，主要原因是2024年较2023年弥补人员经费开支减少，公用经费增加。</w:t>
      </w:r>
    </w:p>
    <w:p w14:paraId="768CD05E">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7B5E0C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14:paraId="1EA1748C">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2E9FDB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551F9D45">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62E70585">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14:paraId="25B0C5C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0.75万元，较年初预算数减少0.25万元，下降25%，主要原因是认真贯彻落实中央八项规定精神，按照只减不增的要求从严控制“三公”经费，全年实际支出较预算有所下降。较上年支出数增加0.31万元，增长69.25%，主要原因是2024年较2023年增加接待批次及接待人次，相应增加接待费用。</w:t>
      </w:r>
    </w:p>
    <w:p w14:paraId="30932B8D">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14:paraId="73FC506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因公出国（境）费用0万元，费用支出与年初预算数持平；与上年支出数持平，主要原因是无因公出国（境）计划。</w:t>
      </w:r>
    </w:p>
    <w:p w14:paraId="514CC6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公务车购置费用0万元费用支出与年初预算数持平；与上年支出数持平，主要原因是无公务车购置计划。</w:t>
      </w:r>
    </w:p>
    <w:p w14:paraId="5A10FFC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公务车运行维护费0万元。费用支出与年初预算数持平；与上年支出数持平，主要原因是政务服务办本级单位无公务车。</w:t>
      </w:r>
    </w:p>
    <w:p w14:paraId="156FD9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0.75万元，主要用于接待重庆各区县到我单位考察学习工作发生的接待支出。费用支出较年初预算数减少0.25万元，下降25%，主要原因是强化公务接待支出管理，严格遵守公务接待开支范围和开支标准，严格控制陪餐人数，对应由接待对象承担的费用一律由接待对象自行支付，较上年支出数增加0.31万元，增长70.45%，主要原因是2024年较2023年增加接待批次及接待人次，相应增加接待费用。</w:t>
      </w:r>
    </w:p>
    <w:p w14:paraId="14F331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14:paraId="11F131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部门因公出国（境）共计0个团组，0人；公务用车购置0辆，公务车保有量为0辆；国内公务接待5批次77人，其中：国内外事接待0批次，0人；国（境）外公务接待0批次，0人。人均接待费96.87元，车均购置费0万元，车均维护费0万元。</w:t>
      </w:r>
    </w:p>
    <w:p w14:paraId="71E712A2">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49E735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1BD8D891">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eastAsia="方正仿宋_GBK" w:cs="方正仿宋_GBK"/>
          <w:sz w:val="32"/>
          <w:szCs w:val="32"/>
          <w:lang w:val="en-US" w:eastAsia="zh-CN"/>
        </w:rPr>
        <w:t>0.38</w:t>
      </w:r>
      <w:r>
        <w:rPr>
          <w:rFonts w:ascii="方正仿宋_GBK" w:hAnsi="方正仿宋_GBK" w:eastAsia="方正仿宋_GBK" w:cs="方正仿宋_GBK"/>
          <w:sz w:val="32"/>
          <w:szCs w:val="32"/>
          <w:shd w:val="clear" w:color="auto" w:fill="FFFFFF"/>
        </w:rPr>
        <w:t>万元，与2023年度相比，减少</w:t>
      </w:r>
      <w:r>
        <w:rPr>
          <w:rFonts w:hint="eastAsia" w:ascii="方正仿宋_GBK" w:hAnsi="方正仿宋_GBK" w:eastAsia="方正仿宋_GBK" w:cs="方正仿宋_GBK"/>
          <w:sz w:val="32"/>
          <w:szCs w:val="32"/>
          <w:shd w:val="clear" w:color="auto" w:fill="FFFFFF"/>
          <w:lang w:val="en-US" w:eastAsia="zh-CN"/>
        </w:rPr>
        <w:t>0.46</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54.76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2024年严控会议费开支，精简会议资料费用</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lang w:val="en-US" w:eastAsia="zh-CN"/>
        </w:rPr>
        <w:t>0.73</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减少19.38</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96.38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2023年进行了优化营商环境培训，2024年未进行培训</w:t>
      </w:r>
      <w:r>
        <w:rPr>
          <w:rFonts w:ascii="方正仿宋_GBK" w:hAnsi="方正仿宋_GBK" w:eastAsia="方正仿宋_GBK" w:cs="方正仿宋_GBK"/>
          <w:sz w:val="32"/>
          <w:szCs w:val="32"/>
          <w:shd w:val="clear" w:color="auto" w:fill="FFFFFF"/>
        </w:rPr>
        <w:t>。</w:t>
      </w:r>
    </w:p>
    <w:p w14:paraId="370191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4D95C79A">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w:t>
      </w:r>
      <w:r>
        <w:rPr>
          <w:rFonts w:hint="eastAsia" w:ascii="宋体" w:hAnsi="宋体" w:eastAsia="方正仿宋_GBK" w:cs="方正仿宋_GBK"/>
          <w:kern w:val="0"/>
          <w:sz w:val="32"/>
          <w:szCs w:val="32"/>
          <w:lang w:val="en-US" w:eastAsia="zh-CN"/>
        </w:rPr>
        <w:t>部门</w:t>
      </w:r>
      <w:r>
        <w:rPr>
          <w:rFonts w:hint="eastAsia" w:ascii="宋体" w:hAnsi="宋体" w:eastAsia="方正仿宋_GBK" w:cs="方正仿宋_GBK"/>
          <w:kern w:val="0"/>
          <w:sz w:val="32"/>
          <w:szCs w:val="32"/>
        </w:rPr>
        <w:t>机关运行经费支出</w:t>
      </w:r>
      <w:r>
        <w:rPr>
          <w:rFonts w:hint="eastAsia" w:ascii="宋体" w:hAnsi="宋体" w:eastAsia="方正仿宋_GBK" w:cs="方正仿宋_GBK"/>
          <w:kern w:val="0"/>
          <w:sz w:val="32"/>
          <w:szCs w:val="32"/>
          <w:lang w:val="en-US" w:eastAsia="zh-CN"/>
        </w:rPr>
        <w:t>44.47</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较上年</w:t>
      </w:r>
      <w:r>
        <w:rPr>
          <w:rFonts w:hint="eastAsia" w:ascii="宋体" w:hAnsi="宋体" w:eastAsia="方正仿宋_GBK" w:cs="方正仿宋_GBK"/>
          <w:kern w:val="0"/>
          <w:sz w:val="32"/>
          <w:szCs w:val="32"/>
        </w:rPr>
        <w:t>增加</w:t>
      </w:r>
      <w:r>
        <w:rPr>
          <w:rFonts w:hint="eastAsia" w:ascii="宋体" w:hAnsi="宋体" w:eastAsia="方正仿宋_GBK" w:cs="方正仿宋_GBK"/>
          <w:kern w:val="0"/>
          <w:sz w:val="32"/>
          <w:szCs w:val="32"/>
          <w:lang w:val="en-US" w:eastAsia="zh-CN"/>
        </w:rPr>
        <w:t>1.93</w:t>
      </w:r>
      <w:r>
        <w:rPr>
          <w:rFonts w:hint="eastAsia" w:ascii="宋体" w:hAnsi="宋体" w:eastAsia="方正仿宋_GBK" w:cs="方正仿宋_GBK"/>
          <w:kern w:val="0"/>
          <w:sz w:val="32"/>
          <w:szCs w:val="32"/>
        </w:rPr>
        <w:t>万元，增长</w:t>
      </w:r>
      <w:r>
        <w:rPr>
          <w:rFonts w:hint="eastAsia" w:ascii="宋体" w:hAnsi="宋体" w:eastAsia="方正仿宋_GBK" w:cs="方正仿宋_GBK"/>
          <w:kern w:val="0"/>
          <w:sz w:val="32"/>
          <w:szCs w:val="32"/>
          <w:lang w:val="en-US" w:eastAsia="zh-CN"/>
        </w:rPr>
        <w:t>4.54</w:t>
      </w:r>
      <w:r>
        <w:rPr>
          <w:rFonts w:hint="eastAsia" w:ascii="宋体" w:hAnsi="宋体" w:eastAsia="方正仿宋_GBK" w:cs="方正仿宋_GBK"/>
          <w:kern w:val="0"/>
          <w:sz w:val="32"/>
          <w:szCs w:val="32"/>
        </w:rPr>
        <w:t>%，主要原因是</w:t>
      </w:r>
      <w:r>
        <w:rPr>
          <w:rFonts w:hint="eastAsia" w:ascii="宋体" w:hAnsi="宋体" w:eastAsia="方正仿宋_GBK" w:cs="方正仿宋_GBK"/>
          <w:kern w:val="0"/>
          <w:sz w:val="32"/>
          <w:szCs w:val="32"/>
          <w:lang w:val="en-US" w:eastAsia="zh-CN"/>
        </w:rPr>
        <w:t>2024年较2023年弥补人员经费开支减少，公用经费增加</w:t>
      </w:r>
      <w:r>
        <w:rPr>
          <w:rFonts w:hint="eastAsia" w:ascii="宋体" w:hAnsi="宋体" w:eastAsia="方正仿宋_GBK" w:cs="方正仿宋_GBK"/>
          <w:kern w:val="0"/>
          <w:sz w:val="32"/>
          <w:szCs w:val="32"/>
        </w:rPr>
        <w:t>。比年初预算数</w:t>
      </w:r>
      <w:r>
        <w:rPr>
          <w:rFonts w:hint="eastAsia" w:ascii="宋体" w:hAnsi="宋体" w:eastAsia="方正仿宋_GBK" w:cs="方正仿宋_GBK"/>
          <w:kern w:val="0"/>
          <w:sz w:val="32"/>
          <w:szCs w:val="32"/>
          <w:lang w:val="en-US" w:eastAsia="zh-CN"/>
        </w:rPr>
        <w:t>减少1.14</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下降2.50</w:t>
      </w:r>
      <w:r>
        <w:rPr>
          <w:rFonts w:hint="eastAsia" w:ascii="宋体" w:hAnsi="宋体" w:eastAsia="方正仿宋_GBK" w:cs="方正仿宋_GBK"/>
          <w:kern w:val="0"/>
          <w:sz w:val="32"/>
          <w:szCs w:val="32"/>
        </w:rPr>
        <w:t>%，主要原因是</w:t>
      </w:r>
      <w:r>
        <w:rPr>
          <w:rFonts w:hint="eastAsia" w:ascii="宋体" w:hAnsi="宋体" w:eastAsia="方正仿宋_GBK" w:cs="方正仿宋_GBK"/>
          <w:kern w:val="0"/>
          <w:sz w:val="32"/>
          <w:szCs w:val="32"/>
          <w:lang w:val="en-US" w:eastAsia="zh-CN"/>
        </w:rPr>
        <w:t>培训较少，职工教育经费未使用完</w:t>
      </w:r>
      <w:r>
        <w:rPr>
          <w:rFonts w:hint="eastAsia" w:ascii="宋体" w:hAnsi="宋体" w:eastAsia="方正仿宋_GBK" w:cs="方正仿宋_GBK"/>
          <w:kern w:val="0"/>
          <w:sz w:val="32"/>
          <w:szCs w:val="32"/>
        </w:rPr>
        <w:t>。</w:t>
      </w:r>
      <w:r>
        <w:rPr>
          <w:rFonts w:hint="eastAsia" w:ascii="宋体" w:hAnsi="宋体" w:eastAsia="方正仿宋_GBK" w:cs="方正仿宋_GBK"/>
          <w:kern w:val="0"/>
          <w:sz w:val="32"/>
          <w:szCs w:val="32"/>
          <w:lang w:eastAsia="zh-CN"/>
        </w:rPr>
        <w:t>机关运行经费</w:t>
      </w:r>
      <w:r>
        <w:rPr>
          <w:rFonts w:hint="eastAsia" w:ascii="宋体" w:hAnsi="宋体" w:eastAsia="方正仿宋_GBK" w:cs="方正仿宋_GBK"/>
          <w:kern w:val="0"/>
          <w:sz w:val="32"/>
          <w:szCs w:val="32"/>
        </w:rPr>
        <w:t>主要用于</w:t>
      </w:r>
      <w:r>
        <w:rPr>
          <w:rFonts w:hint="eastAsia" w:ascii="宋体" w:hAnsi="宋体" w:eastAsia="方正仿宋_GBK" w:cs="方正仿宋_GBK"/>
          <w:kern w:val="0"/>
          <w:sz w:val="32"/>
          <w:szCs w:val="32"/>
          <w:lang w:val="en-US" w:eastAsia="zh-CN"/>
        </w:rPr>
        <w:t>办公费、水费、电费、邮电费、差旅费、维修（护）费、会议费、培训费、公务接待费、劳务费、委托业务费、工会经费、福利费、其他交通费用、其他商品和服务支出</w:t>
      </w:r>
      <w:r>
        <w:rPr>
          <w:rFonts w:hint="eastAsia" w:ascii="宋体" w:hAnsi="宋体" w:eastAsia="方正仿宋_GBK" w:cs="方正仿宋_GBK"/>
          <w:kern w:val="0"/>
          <w:sz w:val="32"/>
          <w:szCs w:val="32"/>
        </w:rPr>
        <w:t>。</w:t>
      </w:r>
    </w:p>
    <w:p w14:paraId="3FC205F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792B2E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年12月31日，本部门共有车辆</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辆。其中：副部（省）级及以上领导用车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辆，主要</w:t>
      </w:r>
      <w:r>
        <w:rPr>
          <w:rFonts w:hint="eastAsia" w:ascii="宋体" w:hAnsi="宋体" w:eastAsia="方正仿宋_GBK" w:cs="方正仿宋_GBK"/>
          <w:kern w:val="0"/>
          <w:sz w:val="32"/>
          <w:szCs w:val="32"/>
          <w:lang w:val="en-US" w:eastAsia="zh-CN"/>
        </w:rPr>
        <w:t>负责人</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辆，机要通信用车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辆，应急保障用车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辆，执法执勤用车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辆，特种专业技术用车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辆，离退休干部</w:t>
      </w:r>
      <w:r>
        <w:rPr>
          <w:rFonts w:hint="eastAsia" w:ascii="宋体" w:hAnsi="宋体" w:eastAsia="方正仿宋_GBK" w:cs="方正仿宋_GBK"/>
          <w:kern w:val="0"/>
          <w:sz w:val="32"/>
          <w:szCs w:val="32"/>
          <w:lang w:val="en-US" w:eastAsia="zh-CN"/>
        </w:rPr>
        <w:t>服务</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台（套）。</w:t>
      </w:r>
    </w:p>
    <w:p w14:paraId="436004A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0E18686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年度本部门政府采购支出总额</w:t>
      </w:r>
      <w:r>
        <w:rPr>
          <w:rFonts w:hint="eastAsia" w:ascii="宋体" w:hAnsi="宋体" w:eastAsia="方正仿宋_GBK" w:cs="方正仿宋_GBK"/>
          <w:kern w:val="0"/>
          <w:sz w:val="32"/>
          <w:szCs w:val="32"/>
          <w:lang w:val="en-US" w:eastAsia="zh-CN"/>
        </w:rPr>
        <w:t>758.20</w:t>
      </w:r>
      <w:r>
        <w:rPr>
          <w:rFonts w:hint="eastAsia" w:ascii="宋体" w:hAnsi="宋体" w:eastAsia="方正仿宋_GBK" w:cs="方正仿宋_GBK"/>
          <w:kern w:val="0"/>
          <w:sz w:val="32"/>
          <w:szCs w:val="32"/>
        </w:rPr>
        <w:t>万元，其中：政府采购货物支出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万元、政府采购工程支出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万元、政府采购服务支出</w:t>
      </w:r>
      <w:r>
        <w:rPr>
          <w:rFonts w:hint="eastAsia" w:ascii="宋体" w:hAnsi="宋体" w:eastAsia="方正仿宋_GBK" w:cs="方正仿宋_GBK"/>
          <w:kern w:val="0"/>
          <w:sz w:val="32"/>
          <w:szCs w:val="32"/>
          <w:lang w:val="en-US" w:eastAsia="zh-CN"/>
        </w:rPr>
        <w:t>758.20</w:t>
      </w:r>
      <w:r>
        <w:rPr>
          <w:rFonts w:hint="eastAsia" w:ascii="宋体" w:hAnsi="宋体" w:eastAsia="方正仿宋_GBK" w:cs="方正仿宋_GBK"/>
          <w:kern w:val="0"/>
          <w:sz w:val="32"/>
          <w:szCs w:val="32"/>
        </w:rPr>
        <w:t>万元。授予中小企业合同金额</w:t>
      </w:r>
      <w:r>
        <w:rPr>
          <w:rFonts w:hint="eastAsia" w:ascii="宋体" w:hAnsi="宋体" w:eastAsia="方正仿宋_GBK" w:cs="方正仿宋_GBK"/>
          <w:kern w:val="0"/>
          <w:sz w:val="32"/>
          <w:szCs w:val="32"/>
          <w:lang w:val="en-US" w:eastAsia="zh-CN"/>
        </w:rPr>
        <w:t>489.10</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64.51</w:t>
      </w:r>
      <w:r>
        <w:rPr>
          <w:rFonts w:hint="eastAsia" w:ascii="宋体" w:hAnsi="宋体" w:eastAsia="方正仿宋_GBK" w:cs="方正仿宋_GBK"/>
          <w:kern w:val="0"/>
          <w:sz w:val="32"/>
          <w:szCs w:val="32"/>
        </w:rPr>
        <w:t>%，其中：授予小微企业合同金额</w:t>
      </w:r>
      <w:r>
        <w:rPr>
          <w:rFonts w:hint="eastAsia" w:ascii="宋体" w:hAnsi="宋体" w:eastAsia="方正仿宋_GBK" w:cs="方正仿宋_GBK"/>
          <w:kern w:val="0"/>
          <w:sz w:val="32"/>
          <w:szCs w:val="32"/>
          <w:lang w:val="en-US" w:eastAsia="zh-CN"/>
        </w:rPr>
        <w:t>116.10</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15.31</w:t>
      </w:r>
      <w:r>
        <w:rPr>
          <w:rFonts w:hint="eastAsia" w:ascii="宋体" w:hAnsi="宋体" w:eastAsia="方正仿宋_GBK" w:cs="方正仿宋_GBK"/>
          <w:kern w:val="0"/>
          <w:sz w:val="32"/>
          <w:szCs w:val="32"/>
        </w:rPr>
        <w:t>%。</w:t>
      </w:r>
      <w:r>
        <w:rPr>
          <w:rFonts w:hint="eastAsia" w:ascii="宋体" w:hAnsi="宋体" w:eastAsia="方正仿宋_GBK" w:cs="方正仿宋_GBK"/>
          <w:color w:val="auto"/>
          <w:sz w:val="32"/>
          <w:lang w:val="en-US" w:eastAsia="zh-CN"/>
        </w:rPr>
        <w:t>主要用于采购采购江津区电子政务外网数据交换服务、江津区电子政务外网链路租赁服务、江津区政府网站技术和内容维护。</w:t>
      </w:r>
    </w:p>
    <w:p w14:paraId="7B435D9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14:paraId="3B861EFF">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14:paraId="34703EBF">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rPr>
      </w:pPr>
      <w:r>
        <w:rPr>
          <w:rFonts w:hint="eastAsia" w:ascii="宋体" w:hAnsi="宋体" w:eastAsia="方正仿宋_GBK" w:cs="方正仿宋_GBK"/>
          <w:kern w:val="0"/>
          <w:sz w:val="32"/>
          <w:szCs w:val="32"/>
        </w:rPr>
        <w:t>根据预算绩效管理要求，我办对</w:t>
      </w:r>
      <w:r>
        <w:rPr>
          <w:rFonts w:hint="eastAsia" w:ascii="宋体" w:hAnsi="宋体" w:eastAsia="方正仿宋_GBK" w:cs="方正仿宋_GBK"/>
          <w:kern w:val="0"/>
          <w:sz w:val="32"/>
          <w:szCs w:val="32"/>
          <w:lang w:val="en-US" w:eastAsia="zh-CN"/>
        </w:rPr>
        <w:t>8</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eastAsia="方正仿宋_GBK" w:cs="方正仿宋_GBK"/>
          <w:kern w:val="0"/>
          <w:sz w:val="32"/>
          <w:szCs w:val="32"/>
          <w:lang w:val="en-US" w:eastAsia="zh-CN"/>
        </w:rPr>
        <w:t>8</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1545.21</w:t>
      </w:r>
      <w:r>
        <w:rPr>
          <w:rFonts w:hint="eastAsia" w:ascii="宋体" w:hAnsi="宋体" w:eastAsia="方正仿宋_GBK" w:cs="方正仿宋_GBK"/>
          <w:kern w:val="0"/>
          <w:sz w:val="32"/>
          <w:szCs w:val="32"/>
        </w:rPr>
        <w:t>万元；以委托第三方形式开展绩效自评</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14:paraId="23920444">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14:paraId="13F42395">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14:paraId="637A60BE">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000000"/>
          <w:kern w:val="0"/>
          <w:sz w:val="32"/>
          <w:szCs w:val="32"/>
        </w:rPr>
        <w:t>（1）公开范围。</w:t>
      </w:r>
      <w:r>
        <w:rPr>
          <w:rFonts w:hint="eastAsia" w:ascii="宋体" w:hAnsi="宋体" w:eastAsia="方正仿宋_GBK" w:cs="方正仿宋_GBK"/>
          <w:color w:val="auto"/>
          <w:sz w:val="32"/>
          <w:szCs w:val="32"/>
          <w:highlight w:val="none"/>
          <w:lang w:val="en-US" w:eastAsia="zh-CN"/>
        </w:rPr>
        <w:t>项目绩效自评表</w:t>
      </w:r>
      <w:r>
        <w:rPr>
          <w:rFonts w:hint="eastAsia" w:ascii="宋体" w:hAnsi="宋体" w:eastAsia="方正仿宋_GBK" w:cs="方正仿宋_GBK"/>
          <w:color w:val="auto"/>
          <w:kern w:val="0"/>
          <w:sz w:val="32"/>
          <w:szCs w:val="32"/>
        </w:rPr>
        <w:t>。</w:t>
      </w:r>
    </w:p>
    <w:p w14:paraId="6009224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（2）公开内容。详见表格。</w:t>
      </w:r>
    </w:p>
    <w:p w14:paraId="76CAF2B3">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14:paraId="5786AEAE">
      <w:pPr>
        <w:pStyle w:val="5"/>
        <w:keepNext w:val="0"/>
        <w:keepLines w:val="0"/>
        <w:widowControl w:val="0"/>
        <w:suppressLineNumbers w:val="0"/>
        <w:tabs>
          <w:tab w:val="center" w:pos="4153"/>
          <w:tab w:val="left" w:pos="7275"/>
        </w:tabs>
        <w:autoSpaceDE w:val="0"/>
        <w:autoSpaceDN/>
        <w:spacing w:before="0" w:beforeAutospacing="0" w:after="0" w:afterAutospacing="0" w:line="579" w:lineRule="exact"/>
        <w:ind w:left="0" w:right="0" w:firstLine="0" w:firstLineChars="0"/>
        <w:jc w:val="center"/>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bidi="ar"/>
        </w:rPr>
        <w:t>2024年度项目绩效自评表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7"/>
        <w:gridCol w:w="1118"/>
        <w:gridCol w:w="774"/>
        <w:gridCol w:w="854"/>
        <w:gridCol w:w="159"/>
        <w:gridCol w:w="751"/>
        <w:gridCol w:w="524"/>
        <w:gridCol w:w="353"/>
        <w:gridCol w:w="910"/>
        <w:gridCol w:w="888"/>
        <w:gridCol w:w="968"/>
        <w:gridCol w:w="888"/>
        <w:gridCol w:w="206"/>
        <w:gridCol w:w="892"/>
      </w:tblGrid>
      <w:tr w14:paraId="363D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2FD1F54">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项目</w:t>
            </w:r>
          </w:p>
          <w:p w14:paraId="4EA1EBB2">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名称</w:t>
            </w:r>
          </w:p>
        </w:tc>
        <w:tc>
          <w:tcPr>
            <w:tcW w:w="41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5CEFE22">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电子政务平台运维</w:t>
            </w:r>
          </w:p>
        </w:tc>
        <w:tc>
          <w:tcPr>
            <w:tcW w:w="1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B13A49">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自评</w:t>
            </w:r>
          </w:p>
          <w:p w14:paraId="4C8DC331">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总分</w:t>
            </w:r>
          </w:p>
          <w:p w14:paraId="7AA2C9DB">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（分）</w:t>
            </w:r>
          </w:p>
        </w:tc>
        <w:tc>
          <w:tcPr>
            <w:tcW w:w="3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02A4BE">
            <w:pPr>
              <w:keepNext w:val="0"/>
              <w:keepLines w:val="0"/>
              <w:widowControl/>
              <w:suppressLineNumbers w:val="0"/>
              <w:autoSpaceDE w:val="0"/>
              <w:autoSpaceDN/>
              <w:spacing w:before="0" w:beforeAutospacing="0" w:after="0" w:afterAutospacing="0" w:line="579"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100</w:t>
            </w:r>
          </w:p>
        </w:tc>
      </w:tr>
      <w:tr w14:paraId="10AB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BF71F16">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项目主管</w:t>
            </w:r>
          </w:p>
          <w:p w14:paraId="30F50EDA">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部门</w:t>
            </w:r>
          </w:p>
        </w:tc>
        <w:tc>
          <w:tcPr>
            <w:tcW w:w="18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501FD4">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105-</w:t>
            </w:r>
            <w:r>
              <w:rPr>
                <w:rFonts w:hint="eastAsia" w:ascii="方正仿宋_GBK" w:hAnsi="方正仿宋_GBK" w:eastAsia="方正仿宋_GBK" w:cs="方正仿宋_GBK"/>
                <w:color w:val="000000"/>
                <w:kern w:val="0"/>
                <w:sz w:val="24"/>
                <w:szCs w:val="24"/>
                <w:lang w:val="en-US" w:eastAsia="zh-CN" w:bidi="ar"/>
              </w:rPr>
              <w:t>重庆市江津区政务服务管理办公室</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3795A431">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财政归口科室</w:t>
            </w:r>
          </w:p>
        </w:tc>
        <w:tc>
          <w:tcPr>
            <w:tcW w:w="14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B3FBF5">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001-</w:t>
            </w:r>
            <w:r>
              <w:rPr>
                <w:rFonts w:hint="eastAsia" w:ascii="方正仿宋_GBK" w:hAnsi="方正仿宋_GBK" w:eastAsia="方正仿宋_GBK" w:cs="方正仿宋_GBK"/>
                <w:color w:val="000000"/>
                <w:kern w:val="0"/>
                <w:sz w:val="24"/>
                <w:szCs w:val="24"/>
                <w:lang w:val="en-US" w:eastAsia="zh-CN" w:bidi="ar"/>
              </w:rPr>
              <w:t>行政政法科</w:t>
            </w:r>
          </w:p>
        </w:tc>
        <w:tc>
          <w:tcPr>
            <w:tcW w:w="1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184210">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项目</w:t>
            </w:r>
          </w:p>
          <w:p w14:paraId="1BC04B96">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联系人</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7058E57A">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沈有斐、李艳</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77DC4714">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联系电话</w:t>
            </w:r>
          </w:p>
        </w:tc>
        <w:tc>
          <w:tcPr>
            <w:tcW w:w="19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E25DD4">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13996214789</w:t>
            </w:r>
            <w:r>
              <w:rPr>
                <w:rFonts w:hint="eastAsia" w:ascii="方正仿宋_GBK" w:hAnsi="方正仿宋_GBK" w:eastAsia="方正仿宋_GBK" w:cs="方正仿宋_GBK"/>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18696641116</w:t>
            </w:r>
          </w:p>
        </w:tc>
      </w:tr>
      <w:tr w14:paraId="1A35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3BA66E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113" w:right="113"/>
              <w:jc w:val="center"/>
              <w:textAlignment w:val="auto"/>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项目资金（万元）</w:t>
            </w:r>
          </w:p>
        </w:tc>
        <w:tc>
          <w:tcPr>
            <w:tcW w:w="189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40737BB">
            <w:pPr>
              <w:keepNext w:val="0"/>
              <w:keepLines w:val="0"/>
              <w:widowControl w:val="0"/>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年度总金额</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3BD6FF4">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年初</w:t>
            </w:r>
          </w:p>
          <w:p w14:paraId="011FD351">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预算数</w:t>
            </w:r>
          </w:p>
        </w:tc>
        <w:tc>
          <w:tcPr>
            <w:tcW w:w="14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EA21BD">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全年（调整）预算数</w:t>
            </w:r>
          </w:p>
        </w:tc>
        <w:tc>
          <w:tcPr>
            <w:tcW w:w="2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E4E29D">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全年执行数</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0506829D">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执行率</w:t>
            </w:r>
          </w:p>
          <w:p w14:paraId="572A0EC0">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550DEB38">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执行率</w:t>
            </w:r>
          </w:p>
          <w:p w14:paraId="58FE48B9">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权重</w:t>
            </w:r>
          </w:p>
        </w:tc>
        <w:tc>
          <w:tcPr>
            <w:tcW w:w="10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55CA42">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执行率</w:t>
            </w:r>
          </w:p>
          <w:p w14:paraId="03BE5A13">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得分</w:t>
            </w:r>
          </w:p>
          <w:p w14:paraId="66F7D530">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（分）</w:t>
            </w:r>
          </w:p>
        </w:tc>
      </w:tr>
      <w:tr w14:paraId="7435C3EC">
        <w:tblPrEx>
          <w:tblCellMar>
            <w:top w:w="0" w:type="dxa"/>
            <w:left w:w="108" w:type="dxa"/>
            <w:bottom w:w="0" w:type="dxa"/>
            <w:right w:w="108" w:type="dxa"/>
          </w:tblCellMar>
        </w:tblPrEx>
        <w:trPr>
          <w:trHeight w:val="469" w:hRule="atLeast"/>
          <w:jc w:val="center"/>
        </w:trPr>
        <w:tc>
          <w:tcPr>
            <w:tcW w:w="847" w:type="dxa"/>
            <w:vMerge w:val="continue"/>
            <w:tcBorders>
              <w:top w:val="nil"/>
              <w:left w:val="single" w:color="auto" w:sz="4" w:space="0"/>
              <w:bottom w:val="single" w:color="auto" w:sz="4" w:space="0"/>
              <w:right w:val="single" w:color="auto" w:sz="4" w:space="0"/>
            </w:tcBorders>
            <w:shd w:val="clear" w:color="auto" w:fill="auto"/>
            <w:vAlign w:val="center"/>
          </w:tcPr>
          <w:p w14:paraId="0740A4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92"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F5998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369EE5D7">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208.8</w:t>
            </w:r>
          </w:p>
        </w:tc>
        <w:tc>
          <w:tcPr>
            <w:tcW w:w="14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C23EB1">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178.6</w:t>
            </w:r>
          </w:p>
        </w:tc>
        <w:tc>
          <w:tcPr>
            <w:tcW w:w="2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E9D6EB">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178.6</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539B99D0">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5BEE4DD6">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kern w:val="0"/>
                <w:sz w:val="24"/>
                <w:szCs w:val="24"/>
              </w:rPr>
            </w:pPr>
          </w:p>
        </w:tc>
        <w:tc>
          <w:tcPr>
            <w:tcW w:w="10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2072F0">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p>
        </w:tc>
      </w:tr>
      <w:tr w14:paraId="2E70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6" w:hRule="atLeast"/>
          <w:jc w:val="center"/>
        </w:trPr>
        <w:tc>
          <w:tcPr>
            <w:tcW w:w="847" w:type="dxa"/>
            <w:vMerge w:val="continue"/>
            <w:tcBorders>
              <w:top w:val="nil"/>
              <w:left w:val="single" w:color="auto" w:sz="4" w:space="0"/>
              <w:bottom w:val="single" w:color="auto" w:sz="4" w:space="0"/>
              <w:right w:val="single" w:color="auto" w:sz="4" w:space="0"/>
            </w:tcBorders>
            <w:shd w:val="clear" w:color="auto" w:fill="auto"/>
            <w:vAlign w:val="center"/>
          </w:tcPr>
          <w:p w14:paraId="44F258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29903A">
            <w:pPr>
              <w:keepNext w:val="0"/>
              <w:keepLines w:val="0"/>
              <w:widowControl/>
              <w:suppressLineNumbers w:val="0"/>
              <w:autoSpaceDE w:val="0"/>
              <w:autoSpaceDN/>
              <w:spacing w:before="0" w:beforeAutospacing="0" w:after="0" w:afterAutospacing="0" w:line="40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其中：</w:t>
            </w:r>
          </w:p>
          <w:p w14:paraId="3B4657FF">
            <w:pPr>
              <w:keepNext w:val="0"/>
              <w:keepLines w:val="0"/>
              <w:widowControl/>
              <w:suppressLineNumbers w:val="0"/>
              <w:autoSpaceDE w:val="0"/>
              <w:autoSpaceDN/>
              <w:spacing w:before="0" w:beforeAutospacing="0" w:after="0" w:afterAutospacing="0" w:line="40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财政拨款</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7A83B6D">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208.8</w:t>
            </w:r>
          </w:p>
        </w:tc>
        <w:tc>
          <w:tcPr>
            <w:tcW w:w="14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3D59EC">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178.6</w:t>
            </w:r>
          </w:p>
        </w:tc>
        <w:tc>
          <w:tcPr>
            <w:tcW w:w="2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4856EE">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178.6</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1C12D57C">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0108B8AE">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w:t>
            </w:r>
          </w:p>
        </w:tc>
        <w:tc>
          <w:tcPr>
            <w:tcW w:w="10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DEAFF1">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w:t>
            </w:r>
          </w:p>
        </w:tc>
      </w:tr>
      <w:tr w14:paraId="3924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op w:val="nil"/>
              <w:left w:val="single" w:color="auto" w:sz="4" w:space="0"/>
              <w:bottom w:val="single" w:color="auto" w:sz="4" w:space="0"/>
              <w:right w:val="single" w:color="auto" w:sz="4" w:space="0"/>
            </w:tcBorders>
            <w:shd w:val="clear" w:color="auto" w:fill="auto"/>
            <w:vAlign w:val="center"/>
          </w:tcPr>
          <w:p w14:paraId="520A6AE6">
            <w:pPr>
              <w:keepNext w:val="0"/>
              <w:keepLines w:val="0"/>
              <w:widowControl/>
              <w:suppressLineNumbers w:val="0"/>
              <w:autoSpaceDE w:val="0"/>
              <w:autoSpaceDN/>
              <w:spacing w:before="0" w:beforeAutospacing="0" w:after="0" w:afterAutospacing="0" w:line="579"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当年绩效目</w:t>
            </w:r>
            <w:r>
              <w:rPr>
                <w:rFonts w:hint="eastAsia" w:ascii="宋体" w:hAnsi="宋体" w:eastAsia="宋体" w:cs="宋体"/>
                <w:color w:val="000000"/>
                <w:kern w:val="0"/>
                <w:sz w:val="24"/>
                <w:szCs w:val="24"/>
                <w:lang w:val="en-US" w:eastAsia="zh-CN" w:bidi="ar"/>
              </w:rPr>
              <w:t xml:space="preserve"> </w:t>
            </w:r>
            <w:r>
              <w:rPr>
                <w:rFonts w:hint="eastAsia" w:ascii="方正仿宋_GBK" w:hAnsi="方正仿宋_GBK" w:eastAsia="方正仿宋_GBK" w:cs="方正仿宋_GBK"/>
                <w:color w:val="000000"/>
                <w:kern w:val="0"/>
                <w:sz w:val="24"/>
                <w:szCs w:val="24"/>
                <w:lang w:val="en-US" w:eastAsia="zh-CN" w:bidi="ar"/>
              </w:rPr>
              <w:t>标</w:t>
            </w:r>
          </w:p>
        </w:tc>
        <w:tc>
          <w:tcPr>
            <w:tcW w:w="36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6141C2">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年初绩效目标</w:t>
            </w:r>
          </w:p>
        </w:tc>
        <w:tc>
          <w:tcPr>
            <w:tcW w:w="26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92940C">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全年（调整）绩效目标</w:t>
            </w:r>
          </w:p>
        </w:tc>
        <w:tc>
          <w:tcPr>
            <w:tcW w:w="2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BF0FF9">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全年目标实际完成情况</w:t>
            </w:r>
          </w:p>
        </w:tc>
      </w:tr>
      <w:tr w14:paraId="06CD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op w:val="nil"/>
              <w:left w:val="single" w:color="auto" w:sz="4" w:space="0"/>
              <w:bottom w:val="single" w:color="auto" w:sz="4" w:space="0"/>
              <w:right w:val="single" w:color="auto" w:sz="4" w:space="0"/>
            </w:tcBorders>
            <w:shd w:val="clear" w:color="auto" w:fill="auto"/>
            <w:vAlign w:val="center"/>
          </w:tcPr>
          <w:p w14:paraId="4F0D0D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3AB803">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val="en-US" w:eastAsia="zh-CN" w:bidi="ar"/>
              </w:rPr>
              <w:t>规范政府网站建设与管理，推进我区政府网站健康有序发展，同时持续加强内容保障、优化效果呈现。通过继续维护区电子政务中心机房，确保江津区电子政务中心机房正常稳定运行。</w:t>
            </w:r>
          </w:p>
        </w:tc>
        <w:tc>
          <w:tcPr>
            <w:tcW w:w="26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AA25E8">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1"/>
                <w:szCs w:val="21"/>
              </w:rPr>
            </w:pPr>
          </w:p>
        </w:tc>
        <w:tc>
          <w:tcPr>
            <w:tcW w:w="2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9EA01A">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val="en-US" w:eastAsia="zh-CN" w:bidi="ar"/>
              </w:rPr>
              <w:t>电子政务中心机房全年正常运行。履行好政府网站监督考核责任，确保政府网站和政务新媒体健康有序运行，并在国家、重庆市政务公开第三方评估中取得优异成绩。</w:t>
            </w:r>
          </w:p>
        </w:tc>
      </w:tr>
      <w:tr w14:paraId="1499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jc w:val="center"/>
        </w:trPr>
        <w:tc>
          <w:tcPr>
            <w:tcW w:w="847" w:type="dxa"/>
            <w:vMerge w:val="restart"/>
            <w:tcBorders>
              <w:top w:val="nil"/>
              <w:left w:val="single" w:color="auto" w:sz="4" w:space="0"/>
              <w:bottom w:val="single" w:color="auto" w:sz="4" w:space="0"/>
              <w:right w:val="single" w:color="auto" w:sz="4" w:space="0"/>
            </w:tcBorders>
            <w:shd w:val="clear" w:color="auto" w:fill="auto"/>
            <w:vAlign w:val="center"/>
          </w:tcPr>
          <w:p w14:paraId="04FDDCAF">
            <w:pPr>
              <w:keepNext w:val="0"/>
              <w:keepLines w:val="0"/>
              <w:widowControl/>
              <w:suppressLineNumbers w:val="0"/>
              <w:autoSpaceDE w:val="0"/>
              <w:autoSpaceDN/>
              <w:spacing w:before="0" w:beforeAutospacing="0" w:after="0" w:afterAutospacing="0" w:line="579"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绩</w:t>
            </w:r>
            <w:r>
              <w:rPr>
                <w:rFonts w:hint="eastAsia" w:ascii="宋体" w:hAnsi="宋体" w:eastAsia="宋体" w:cs="宋体"/>
                <w:color w:val="000000"/>
                <w:kern w:val="0"/>
                <w:sz w:val="24"/>
                <w:szCs w:val="24"/>
                <w:lang w:val="en-US" w:eastAsia="zh-CN" w:bidi="ar"/>
              </w:rPr>
              <w:t xml:space="preserve"> </w:t>
            </w:r>
            <w:r>
              <w:rPr>
                <w:rFonts w:hint="eastAsia" w:ascii="方正仿宋_GBK" w:hAnsi="方正仿宋_GBK" w:eastAsia="方正仿宋_GBK" w:cs="方正仿宋_GBK"/>
                <w:color w:val="000000"/>
                <w:kern w:val="0"/>
                <w:sz w:val="24"/>
                <w:szCs w:val="24"/>
                <w:lang w:val="en-US" w:eastAsia="zh-CN" w:bidi="ar"/>
              </w:rPr>
              <w:t>效指</w:t>
            </w:r>
            <w:r>
              <w:rPr>
                <w:rFonts w:hint="eastAsia" w:ascii="宋体" w:hAnsi="宋体" w:eastAsia="方正仿宋_GBK" w:cs="方正仿宋_GBK"/>
                <w:color w:val="000000"/>
                <w:kern w:val="0"/>
                <w:sz w:val="24"/>
                <w:szCs w:val="24"/>
                <w:lang w:val="en-US" w:eastAsia="zh-CN" w:bidi="ar"/>
              </w:rPr>
              <w:t xml:space="preserve"> </w:t>
            </w:r>
            <w:r>
              <w:rPr>
                <w:rFonts w:hint="eastAsia" w:ascii="方正仿宋_GBK" w:hAnsi="方正仿宋_GBK" w:eastAsia="方正仿宋_GBK" w:cs="方正仿宋_GBK"/>
                <w:color w:val="000000"/>
                <w:kern w:val="0"/>
                <w:sz w:val="24"/>
                <w:szCs w:val="24"/>
                <w:lang w:val="en-US" w:eastAsia="zh-CN" w:bidi="ar"/>
              </w:rPr>
              <w:t>标</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674039C0">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指标</w:t>
            </w:r>
          </w:p>
          <w:p w14:paraId="3E40A18B">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名称</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55E56A96">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计量</w:t>
            </w:r>
          </w:p>
          <w:p w14:paraId="05B423F1">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单位</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6A5CDC">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指标</w:t>
            </w:r>
          </w:p>
          <w:p w14:paraId="5486A45C">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性质</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143E2469">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指标</w:t>
            </w:r>
          </w:p>
          <w:p w14:paraId="4A6C1C55">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值</w:t>
            </w:r>
          </w:p>
        </w:tc>
        <w:tc>
          <w:tcPr>
            <w:tcW w:w="8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ABA566">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全年</w:t>
            </w:r>
          </w:p>
          <w:p w14:paraId="6FB62E8A">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完成值</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952506B">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偏离度（</w:t>
            </w:r>
            <w:r>
              <w:rPr>
                <w:rFonts w:hint="eastAsia" w:ascii="宋体" w:hAnsi="宋体" w:eastAsia="宋体" w:cs="宋体"/>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45ECF66A">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得分</w:t>
            </w:r>
          </w:p>
          <w:p w14:paraId="47730B19">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系数</w:t>
            </w:r>
          </w:p>
          <w:p w14:paraId="7398DE0B">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6D711C8E">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指标</w:t>
            </w:r>
          </w:p>
          <w:p w14:paraId="4CD1400B">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权重</w:t>
            </w:r>
          </w:p>
          <w:p w14:paraId="7717B6C8">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（分）</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4780CF">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指标</w:t>
            </w:r>
          </w:p>
          <w:p w14:paraId="24A09780">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得分</w:t>
            </w:r>
          </w:p>
          <w:p w14:paraId="1ACF7107">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（分）</w:t>
            </w: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47571A1D">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说明</w:t>
            </w:r>
          </w:p>
        </w:tc>
      </w:tr>
      <w:tr w14:paraId="4450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op w:val="nil"/>
              <w:left w:val="single" w:color="auto" w:sz="4" w:space="0"/>
              <w:bottom w:val="single" w:color="auto" w:sz="4" w:space="0"/>
              <w:right w:val="single" w:color="auto" w:sz="4" w:space="0"/>
            </w:tcBorders>
            <w:shd w:val="clear" w:color="auto" w:fill="auto"/>
            <w:vAlign w:val="center"/>
          </w:tcPr>
          <w:p w14:paraId="6307E1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3A4A2936">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lang w:val="en-US" w:eastAsia="zh-CN" w:bidi="ar"/>
              </w:rPr>
              <w:t>机房巡查频率</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6C1A99DB">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天</w:t>
            </w:r>
            <w:r>
              <w:rPr>
                <w:rFonts w:hint="eastAsia" w:ascii="宋体" w:hAnsi="宋体" w:eastAsia="宋体" w:cs="宋体"/>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月</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77197B">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5CA51F6C">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4</w:t>
            </w:r>
          </w:p>
        </w:tc>
        <w:tc>
          <w:tcPr>
            <w:tcW w:w="8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535F0D">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4</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829D2D6">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6BE924D1">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100</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22B10C4C">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B615B3">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w:t>
            </w: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2FDADE1D">
            <w:pPr>
              <w:keepNext w:val="0"/>
              <w:keepLines w:val="0"/>
              <w:widowControl/>
              <w:suppressLineNumbers w:val="0"/>
              <w:autoSpaceDE w:val="0"/>
              <w:autoSpaceDN/>
              <w:spacing w:before="0" w:beforeAutospacing="0" w:after="0" w:afterAutospacing="0" w:line="579" w:lineRule="exact"/>
              <w:ind w:left="0" w:right="0"/>
              <w:jc w:val="both"/>
              <w:rPr>
                <w:rFonts w:hint="eastAsia" w:ascii="宋体" w:hAnsi="宋体" w:eastAsia="方正仿宋_GBK" w:cs="方正仿宋_GBK"/>
                <w:color w:val="000000"/>
                <w:kern w:val="0"/>
                <w:sz w:val="24"/>
                <w:szCs w:val="24"/>
              </w:rPr>
            </w:pPr>
          </w:p>
        </w:tc>
      </w:tr>
      <w:tr w14:paraId="2EC2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op w:val="nil"/>
              <w:left w:val="single" w:color="auto" w:sz="4" w:space="0"/>
              <w:bottom w:val="single" w:color="auto" w:sz="4" w:space="0"/>
              <w:right w:val="single" w:color="auto" w:sz="4" w:space="0"/>
            </w:tcBorders>
            <w:shd w:val="clear" w:color="auto" w:fill="auto"/>
            <w:vAlign w:val="center"/>
          </w:tcPr>
          <w:p w14:paraId="7B1185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7F83ED44">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lang w:val="en-US" w:eastAsia="zh-CN" w:bidi="ar"/>
              </w:rPr>
              <w:t>年稳定运行天数</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77FEF2A3">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天</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4E3090">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1FE5A843">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365</w:t>
            </w:r>
          </w:p>
        </w:tc>
        <w:tc>
          <w:tcPr>
            <w:tcW w:w="8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30F34B">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365</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2927BCF">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262D2E84">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100</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2A515B7B">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20</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68938F">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20</w:t>
            </w: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4E3B36F3">
            <w:pPr>
              <w:keepNext w:val="0"/>
              <w:keepLines w:val="0"/>
              <w:widowControl/>
              <w:suppressLineNumbers w:val="0"/>
              <w:autoSpaceDE w:val="0"/>
              <w:autoSpaceDN/>
              <w:spacing w:before="0" w:beforeAutospacing="0" w:after="0" w:afterAutospacing="0" w:line="579" w:lineRule="exact"/>
              <w:ind w:left="0" w:right="0"/>
              <w:jc w:val="both"/>
              <w:rPr>
                <w:rFonts w:hint="eastAsia" w:ascii="宋体" w:hAnsi="宋体" w:eastAsia="方正仿宋_GBK" w:cs="方正仿宋_GBK"/>
                <w:color w:val="000000"/>
                <w:kern w:val="0"/>
                <w:sz w:val="24"/>
                <w:szCs w:val="24"/>
              </w:rPr>
            </w:pPr>
          </w:p>
        </w:tc>
      </w:tr>
      <w:tr w14:paraId="2102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jc w:val="center"/>
        </w:trPr>
        <w:tc>
          <w:tcPr>
            <w:tcW w:w="847" w:type="dxa"/>
            <w:vMerge w:val="continue"/>
            <w:tcBorders>
              <w:top w:val="nil"/>
              <w:left w:val="single" w:color="auto" w:sz="4" w:space="0"/>
              <w:bottom w:val="single" w:color="auto" w:sz="4" w:space="0"/>
              <w:right w:val="single" w:color="auto" w:sz="4" w:space="0"/>
            </w:tcBorders>
            <w:shd w:val="clear" w:color="auto" w:fill="auto"/>
            <w:vAlign w:val="center"/>
          </w:tcPr>
          <w:p w14:paraId="5E9DCA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4686A712">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lang w:val="en-US" w:eastAsia="zh-CN" w:bidi="ar"/>
              </w:rPr>
              <w:t>系统故障修复处理时间</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6D36534A">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小时</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21DD23">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7B5E385">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24</w:t>
            </w:r>
          </w:p>
        </w:tc>
        <w:tc>
          <w:tcPr>
            <w:tcW w:w="8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5032E6">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24</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9770C3C">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6DDD78B4">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100</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0CEC8BE4">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15</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2F5771">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15</w:t>
            </w: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7035DBFA">
            <w:pPr>
              <w:keepNext w:val="0"/>
              <w:keepLines w:val="0"/>
              <w:widowControl/>
              <w:suppressLineNumbers w:val="0"/>
              <w:autoSpaceDE w:val="0"/>
              <w:autoSpaceDN/>
              <w:spacing w:before="0" w:beforeAutospacing="0" w:after="0" w:afterAutospacing="0" w:line="579" w:lineRule="exact"/>
              <w:ind w:left="0" w:right="0"/>
              <w:jc w:val="both"/>
              <w:rPr>
                <w:rFonts w:hint="eastAsia" w:ascii="宋体" w:hAnsi="宋体" w:eastAsia="方正仿宋_GBK" w:cs="方正仿宋_GBK"/>
                <w:color w:val="000000"/>
                <w:kern w:val="0"/>
                <w:sz w:val="24"/>
                <w:szCs w:val="24"/>
              </w:rPr>
            </w:pPr>
          </w:p>
        </w:tc>
      </w:tr>
      <w:tr w14:paraId="1373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op w:val="nil"/>
              <w:left w:val="single" w:color="auto" w:sz="4" w:space="0"/>
              <w:bottom w:val="single" w:color="auto" w:sz="4" w:space="0"/>
              <w:right w:val="single" w:color="auto" w:sz="4" w:space="0"/>
            </w:tcBorders>
            <w:shd w:val="clear" w:color="auto" w:fill="auto"/>
            <w:vAlign w:val="center"/>
          </w:tcPr>
          <w:p w14:paraId="1567EB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35788DFE">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lang w:val="en-US" w:eastAsia="zh-CN" w:bidi="ar"/>
              </w:rPr>
              <w:t>系统运行维护响应时间</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0B40C8BE">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小时</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843EC">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2A8A2860">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w:t>
            </w:r>
          </w:p>
        </w:tc>
        <w:tc>
          <w:tcPr>
            <w:tcW w:w="8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BDE462">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13A14875">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277AF28E">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100</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338B66A9">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15</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8819BC">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15</w:t>
            </w: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4BA1C49F">
            <w:pPr>
              <w:keepNext w:val="0"/>
              <w:keepLines w:val="0"/>
              <w:widowControl/>
              <w:suppressLineNumbers w:val="0"/>
              <w:autoSpaceDE w:val="0"/>
              <w:autoSpaceDN/>
              <w:spacing w:before="0" w:beforeAutospacing="0" w:after="0" w:afterAutospacing="0" w:line="579" w:lineRule="exact"/>
              <w:ind w:left="0" w:right="0"/>
              <w:jc w:val="both"/>
              <w:rPr>
                <w:rFonts w:hint="eastAsia" w:ascii="宋体" w:hAnsi="宋体" w:eastAsia="方正仿宋_GBK" w:cs="方正仿宋_GBK"/>
                <w:color w:val="000000"/>
                <w:kern w:val="0"/>
                <w:sz w:val="24"/>
                <w:szCs w:val="24"/>
              </w:rPr>
            </w:pPr>
          </w:p>
        </w:tc>
      </w:tr>
      <w:tr w14:paraId="65F3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op w:val="nil"/>
              <w:left w:val="single" w:color="auto" w:sz="4" w:space="0"/>
              <w:bottom w:val="single" w:color="auto" w:sz="4" w:space="0"/>
              <w:right w:val="single" w:color="auto" w:sz="4" w:space="0"/>
            </w:tcBorders>
            <w:shd w:val="clear" w:color="auto" w:fill="auto"/>
            <w:vAlign w:val="center"/>
          </w:tcPr>
          <w:p w14:paraId="2B200E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79E8F8BE">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lang w:val="en-US" w:eastAsia="zh-CN" w:bidi="ar"/>
              </w:rPr>
              <w:t>宣传政策知晓率</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7D682C61">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292041">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61A23028">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80</w:t>
            </w:r>
          </w:p>
        </w:tc>
        <w:tc>
          <w:tcPr>
            <w:tcW w:w="8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C66491">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90</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74B34DF6">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12.5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033B8717">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100</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7E0A712F">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20</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9C7741">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20</w:t>
            </w: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5A47E3EB">
            <w:pPr>
              <w:keepNext w:val="0"/>
              <w:keepLines w:val="0"/>
              <w:widowControl/>
              <w:suppressLineNumbers w:val="0"/>
              <w:autoSpaceDE w:val="0"/>
              <w:autoSpaceDN/>
              <w:spacing w:before="0" w:beforeAutospacing="0" w:after="0" w:afterAutospacing="0" w:line="579" w:lineRule="exact"/>
              <w:ind w:left="0" w:right="0"/>
              <w:jc w:val="both"/>
              <w:rPr>
                <w:rFonts w:hint="eastAsia" w:ascii="宋体" w:hAnsi="宋体" w:eastAsia="方正仿宋_GBK" w:cs="方正仿宋_GBK"/>
                <w:color w:val="000000"/>
                <w:kern w:val="0"/>
                <w:sz w:val="24"/>
                <w:szCs w:val="24"/>
              </w:rPr>
            </w:pPr>
          </w:p>
        </w:tc>
      </w:tr>
      <w:tr w14:paraId="128F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op w:val="nil"/>
              <w:left w:val="single" w:color="auto" w:sz="4" w:space="0"/>
              <w:bottom w:val="single" w:color="auto" w:sz="4" w:space="0"/>
              <w:right w:val="single" w:color="auto" w:sz="4" w:space="0"/>
            </w:tcBorders>
            <w:shd w:val="clear" w:color="auto" w:fill="auto"/>
            <w:vAlign w:val="center"/>
          </w:tcPr>
          <w:p w14:paraId="5CDB8A0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67D79E4B">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2"/>
                <w:szCs w:val="22"/>
              </w:rPr>
            </w:pPr>
            <w:r>
              <w:rPr>
                <w:rFonts w:hint="eastAsia" w:ascii="方正仿宋_GBK" w:hAnsi="方正仿宋_GBK" w:eastAsia="方正仿宋_GBK" w:cs="方正仿宋_GBK"/>
                <w:color w:val="000000"/>
                <w:kern w:val="0"/>
                <w:sz w:val="22"/>
                <w:szCs w:val="22"/>
                <w:lang w:val="en-US" w:eastAsia="zh-CN" w:bidi="ar"/>
              </w:rPr>
              <w:t>用户满意度</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62BE87A2">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FC73F6">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bidi="ar"/>
              </w:rPr>
              <w:t>≥</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38D2E0B0">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90</w:t>
            </w:r>
          </w:p>
        </w:tc>
        <w:tc>
          <w:tcPr>
            <w:tcW w:w="8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B2046">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90</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0B98EF3">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1BD0CCE8">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100</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395DE8CA">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D78628">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方正仿宋_GBK" w:cs="方正仿宋_GBK"/>
                <w:color w:val="000000"/>
                <w:kern w:val="0"/>
                <w:sz w:val="24"/>
                <w:szCs w:val="24"/>
              </w:rPr>
            </w:pPr>
            <w:r>
              <w:rPr>
                <w:rFonts w:hint="eastAsia" w:ascii="宋体" w:hAnsi="宋体" w:eastAsia="宋体" w:cs="宋体"/>
                <w:color w:val="000000"/>
                <w:kern w:val="0"/>
                <w:sz w:val="24"/>
                <w:szCs w:val="24"/>
                <w:lang w:val="en-US" w:eastAsia="zh-CN" w:bidi="ar"/>
              </w:rPr>
              <w:t>10</w:t>
            </w: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52084F4F">
            <w:pPr>
              <w:keepNext w:val="0"/>
              <w:keepLines w:val="0"/>
              <w:widowControl/>
              <w:suppressLineNumbers w:val="0"/>
              <w:autoSpaceDE w:val="0"/>
              <w:autoSpaceDN/>
              <w:spacing w:before="0" w:beforeAutospacing="0" w:after="0" w:afterAutospacing="0" w:line="579" w:lineRule="exact"/>
              <w:ind w:left="0" w:right="0"/>
              <w:jc w:val="both"/>
              <w:rPr>
                <w:rFonts w:hint="eastAsia" w:ascii="宋体" w:hAnsi="宋体" w:eastAsia="方正仿宋_GBK" w:cs="方正仿宋_GBK"/>
                <w:color w:val="000000"/>
                <w:kern w:val="0"/>
                <w:sz w:val="24"/>
                <w:szCs w:val="24"/>
              </w:rPr>
            </w:pPr>
          </w:p>
        </w:tc>
      </w:tr>
    </w:tbl>
    <w:p w14:paraId="56C1D21C">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14:paraId="7C6D4FF5">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auto"/>
          <w:kern w:val="0"/>
          <w:sz w:val="32"/>
          <w:szCs w:val="32"/>
          <w:lang w:val="en-US" w:eastAsia="zh-CN"/>
        </w:rPr>
        <w:t>本单位无此事项。</w:t>
      </w:r>
    </w:p>
    <w:p w14:paraId="72D3E699">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14:paraId="0DF6373C">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无。</w:t>
      </w:r>
    </w:p>
    <w:p w14:paraId="338738E1">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14:paraId="7BFE491F">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14:paraId="6411C57D">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14:paraId="53AF13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4DCDA6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43605F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D140E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14:paraId="3C05B6C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61D04F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5AD6E4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4C4E96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3B759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05B4FC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803E0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33D9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5CC61F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1DDED96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3010882C">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77CDB1ED">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6B6A8FD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791E957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联系人：苏杨</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联系电话：023-81222208</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3CA3">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EC2B">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lvl>
  </w:abstractNum>
  <w:abstractNum w:abstractNumId="3">
    <w:nsid w:val="FC092FFC"/>
    <w:multiLevelType w:val="singleLevel"/>
    <w:tmpl w:val="FC092FFC"/>
    <w:lvl w:ilvl="0" w:tentative="0">
      <w:start w:val="1"/>
      <w:numFmt w:val="decimal"/>
      <w:suff w:val="nothing"/>
      <w:lvlText w:val="（%1）"/>
      <w:lvlJc w:val="left"/>
    </w:lvl>
  </w:abstractNum>
  <w:abstractNum w:abstractNumId="4">
    <w:nsid w:val="170F8B3D"/>
    <w:multiLevelType w:val="singleLevel"/>
    <w:tmpl w:val="170F8B3D"/>
    <w:lvl w:ilvl="0" w:tentative="0">
      <w:start w:val="1"/>
      <w:numFmt w:val="decimal"/>
      <w:suff w:val="space"/>
      <w:lvlText w:val="%1."/>
      <w:lvlJc w:val="left"/>
    </w:lvl>
  </w:abstractNum>
  <w:abstractNum w:abstractNumId="5">
    <w:nsid w:val="36AF54E0"/>
    <w:multiLevelType w:val="singleLevel"/>
    <w:tmpl w:val="36AF54E0"/>
    <w:lvl w:ilvl="0" w:tentative="0">
      <w:start w:val="2"/>
      <w:numFmt w:val="decimal"/>
      <w:suff w:val="space"/>
      <w:lvlText w:val="%1."/>
      <w:lvlJc w:val="left"/>
    </w:lvl>
  </w:abstractNum>
  <w:abstractNum w:abstractNumId="6">
    <w:nsid w:val="6BB1AE55"/>
    <w:multiLevelType w:val="singleLevel"/>
    <w:tmpl w:val="6BB1AE55"/>
    <w:lvl w:ilvl="0" w:tentative="0">
      <w:start w:val="1"/>
      <w:numFmt w:val="chineseCounting"/>
      <w:suff w:val="nothing"/>
      <w:lvlText w:val="（%1）"/>
      <w:lvlJc w:val="left"/>
      <w:rPr>
        <w:rFonts w:hint="eastAsia"/>
      </w:rPr>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2F54FC6"/>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B5177D"/>
    <w:rsid w:val="09C9617E"/>
    <w:rsid w:val="0A280DE4"/>
    <w:rsid w:val="0A2D21B2"/>
    <w:rsid w:val="0A751EDD"/>
    <w:rsid w:val="0AB177F2"/>
    <w:rsid w:val="0AB319EF"/>
    <w:rsid w:val="0AEC3562"/>
    <w:rsid w:val="0B447CC4"/>
    <w:rsid w:val="0B4E34C6"/>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2E3BDE"/>
    <w:rsid w:val="197B50D2"/>
    <w:rsid w:val="19926875"/>
    <w:rsid w:val="1A297DDD"/>
    <w:rsid w:val="1A7919B9"/>
    <w:rsid w:val="1B1350D9"/>
    <w:rsid w:val="1B9A7C0E"/>
    <w:rsid w:val="1B9B203B"/>
    <w:rsid w:val="1BFD1CC9"/>
    <w:rsid w:val="1C96385A"/>
    <w:rsid w:val="1CE92F5C"/>
    <w:rsid w:val="1CF814E3"/>
    <w:rsid w:val="1D437979"/>
    <w:rsid w:val="1D4708B1"/>
    <w:rsid w:val="1D656164"/>
    <w:rsid w:val="1D6B43AB"/>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B06DFF"/>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CA2F76"/>
    <w:rsid w:val="2AE168E0"/>
    <w:rsid w:val="2B2F33CE"/>
    <w:rsid w:val="2B762790"/>
    <w:rsid w:val="2BAC2B14"/>
    <w:rsid w:val="2BC73FBA"/>
    <w:rsid w:val="2BFF60E5"/>
    <w:rsid w:val="2C0042E3"/>
    <w:rsid w:val="2C0D59AC"/>
    <w:rsid w:val="2C2D5D74"/>
    <w:rsid w:val="2C334F61"/>
    <w:rsid w:val="2C3D20DB"/>
    <w:rsid w:val="2C71221F"/>
    <w:rsid w:val="2C715093"/>
    <w:rsid w:val="2CDE24A4"/>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2FD162F0"/>
    <w:rsid w:val="300C6664"/>
    <w:rsid w:val="30450B4E"/>
    <w:rsid w:val="30465275"/>
    <w:rsid w:val="31061102"/>
    <w:rsid w:val="31A04CAD"/>
    <w:rsid w:val="31A70211"/>
    <w:rsid w:val="31B15053"/>
    <w:rsid w:val="320A79AF"/>
    <w:rsid w:val="32427031"/>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D31DB7"/>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8EE3617"/>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9842DC"/>
    <w:rsid w:val="4FDE358A"/>
    <w:rsid w:val="501832A3"/>
    <w:rsid w:val="50632B28"/>
    <w:rsid w:val="50C63B0F"/>
    <w:rsid w:val="50E377D9"/>
    <w:rsid w:val="50F36C04"/>
    <w:rsid w:val="51011AC0"/>
    <w:rsid w:val="51086CD3"/>
    <w:rsid w:val="511B035E"/>
    <w:rsid w:val="512B6610"/>
    <w:rsid w:val="517A3160"/>
    <w:rsid w:val="51D53FD0"/>
    <w:rsid w:val="527F0375"/>
    <w:rsid w:val="528D4348"/>
    <w:rsid w:val="52BF3EA5"/>
    <w:rsid w:val="52C04276"/>
    <w:rsid w:val="52E5462F"/>
    <w:rsid w:val="53030193"/>
    <w:rsid w:val="531427EC"/>
    <w:rsid w:val="531C785E"/>
    <w:rsid w:val="533770C8"/>
    <w:rsid w:val="5338243A"/>
    <w:rsid w:val="53BD0CC2"/>
    <w:rsid w:val="53E84DC7"/>
    <w:rsid w:val="54091EFA"/>
    <w:rsid w:val="543B42DA"/>
    <w:rsid w:val="54481E7C"/>
    <w:rsid w:val="54DE4E87"/>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8812BF"/>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5F8E1258"/>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32131A"/>
    <w:rsid w:val="686C2A53"/>
    <w:rsid w:val="689C4BB9"/>
    <w:rsid w:val="68A245E2"/>
    <w:rsid w:val="68B0544A"/>
    <w:rsid w:val="690F3CAF"/>
    <w:rsid w:val="6A0C28CE"/>
    <w:rsid w:val="6A650A4D"/>
    <w:rsid w:val="6B7060C6"/>
    <w:rsid w:val="6C60029B"/>
    <w:rsid w:val="6C927168"/>
    <w:rsid w:val="6D8C5247"/>
    <w:rsid w:val="6E904287"/>
    <w:rsid w:val="6EA83056"/>
    <w:rsid w:val="6EB55F1D"/>
    <w:rsid w:val="6EBE51FD"/>
    <w:rsid w:val="6EF364B6"/>
    <w:rsid w:val="6F103A37"/>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4C0DB6"/>
    <w:rsid w:val="73510736"/>
    <w:rsid w:val="73772C48"/>
    <w:rsid w:val="73B34B68"/>
    <w:rsid w:val="73C87749"/>
    <w:rsid w:val="742D20BE"/>
    <w:rsid w:val="74300B51"/>
    <w:rsid w:val="74373E1F"/>
    <w:rsid w:val="74557B08"/>
    <w:rsid w:val="745909D3"/>
    <w:rsid w:val="74757604"/>
    <w:rsid w:val="74980757"/>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ACB4CB6"/>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15</Pages>
  <Words>5897</Words>
  <Characters>6958</Characters>
  <Lines>1</Lines>
  <Paragraphs>1</Paragraphs>
  <TotalTime>265</TotalTime>
  <ScaleCrop>false</ScaleCrop>
  <LinksUpToDate>false</LinksUpToDate>
  <CharactersWithSpaces>6962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苏杨</cp:lastModifiedBy>
  <cp:lastPrinted>2023-08-10T09:16:00Z</cp:lastPrinted>
  <dcterms:modified xsi:type="dcterms:W3CDTF">2025-09-10T03:21:23Z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8BB14BC0A4644C6A8C6B659C3FC8A633_13</vt:lpwstr>
  </property>
  <property fmtid="{D5CDD505-2E9C-101B-9397-08002B2CF9AE}" pid="4" name="KSOTemplateDocerSaveRecord">
    <vt:lpwstr>eyJoZGlkIjoiNTc1MmMyNjk4Y2U3MzA1MTFkYTM5MTliYTE2MzRiOTEiLCJ1c2VySWQiOiI3NzYzMDk0NzgifQ==</vt:lpwstr>
  </property>
</Properties>
</file>