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rPr>
        <w:t>重庆市江津区人民政府</w:t>
      </w: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关于确定征地补偿安置方案的公告</w:t>
      </w:r>
    </w:p>
    <w:p>
      <w:pPr>
        <w:pStyle w:val="2"/>
        <w:keepNext w:val="0"/>
        <w:keepLines w:val="0"/>
        <w:pageBreakBefore w:val="0"/>
        <w:widowControl w:val="0"/>
        <w:kinsoku/>
        <w:wordWrap/>
        <w:topLinePunct w:val="0"/>
        <w:bidi w:val="0"/>
        <w:spacing w:line="579" w:lineRule="exact"/>
        <w:ind w:firstLine="210"/>
        <w:textAlignment w:val="auto"/>
        <w:rPr>
          <w:rFonts w:hint="default" w:ascii="Times New Roman" w:hAnsi="Times New Roman" w:cs="Times New Roman"/>
          <w:sz w:val="21"/>
          <w:lang w:eastAsia="zh-CN"/>
        </w:rPr>
      </w:pPr>
    </w:p>
    <w:p>
      <w:pPr>
        <w:keepNext w:val="0"/>
        <w:keepLines w:val="0"/>
        <w:pageBreakBefore w:val="0"/>
        <w:widowControl w:val="0"/>
        <w:kinsoku/>
        <w:wordWrap/>
        <w:overflowPunct w:val="0"/>
        <w:topLinePunct w:val="0"/>
        <w:autoSpaceDE/>
        <w:autoSpaceDN/>
        <w:bidi w:val="0"/>
        <w:spacing w:line="579"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江津府征地方案确定公告</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本府于</w:t>
      </w: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sz w:val="32"/>
          <w:szCs w:val="32"/>
        </w:rPr>
        <w:t>至</w:t>
      </w: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color w:val="auto"/>
          <w:sz w:val="32"/>
          <w:szCs w:val="32"/>
          <w:lang w:val="en-US" w:eastAsia="zh-CN"/>
        </w:rPr>
        <w:t xml:space="preserve"> 7</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30</w:t>
      </w:r>
      <w:r>
        <w:rPr>
          <w:rFonts w:hint="default" w:ascii="Times New Roman" w:hAnsi="Times New Roman" w:eastAsia="方正仿宋_GBK" w:cs="Times New Roman"/>
          <w:sz w:val="32"/>
          <w:szCs w:val="32"/>
        </w:rPr>
        <w:t>日期间，依法对实施</w:t>
      </w:r>
      <w:r>
        <w:rPr>
          <w:rFonts w:hint="default" w:ascii="Times New Roman" w:hAnsi="Times New Roman" w:eastAsia="方正仿宋_GBK" w:cs="Times New Roman"/>
          <w:sz w:val="32"/>
          <w:szCs w:val="32"/>
          <w:lang w:eastAsia="zh-CN"/>
        </w:rPr>
        <w:t>江津区</w:t>
      </w:r>
      <w:r>
        <w:rPr>
          <w:rFonts w:hint="default" w:ascii="Times New Roman" w:hAnsi="Times New Roman" w:eastAsia="方正仿宋_GBK" w:cs="Times New Roman"/>
          <w:sz w:val="32"/>
          <w:szCs w:val="32"/>
        </w:rPr>
        <w:t>城镇规划</w:t>
      </w:r>
      <w:r>
        <w:rPr>
          <w:rFonts w:hint="default" w:ascii="Times New Roman" w:hAnsi="Times New Roman" w:eastAsia="方正仿宋_GBK" w:cs="Times New Roman"/>
          <w:bCs/>
          <w:sz w:val="32"/>
          <w:szCs w:val="32"/>
        </w:rPr>
        <w:t>建设项目</w:t>
      </w:r>
      <w:r>
        <w:rPr>
          <w:rFonts w:hint="default" w:ascii="Times New Roman" w:hAnsi="Times New Roman" w:eastAsia="方正仿宋_GBK" w:cs="Times New Roman"/>
          <w:sz w:val="32"/>
          <w:szCs w:val="32"/>
        </w:rPr>
        <w:t>的征地补偿安置方案进行了公告（江津府征地方案公告〔</w:t>
      </w: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rPr>
        <w:t>号），现对该方案予以确定并公布。</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特此公告</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附件：征地补偿安置方案</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autoSpaceDN/>
        <w:bidi w:val="0"/>
        <w:spacing w:line="579" w:lineRule="exact"/>
        <w:ind w:firstLine="4640" w:firstLineChars="145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autoSpaceDN/>
        <w:bidi w:val="0"/>
        <w:spacing w:line="579" w:lineRule="exact"/>
        <w:ind w:firstLine="4640" w:firstLineChars="145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autoSpaceDN/>
        <w:bidi w:val="0"/>
        <w:spacing w:line="579" w:lineRule="exact"/>
        <w:ind w:firstLine="5040" w:firstLineChars="157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重庆市江津区人民政府</w:t>
      </w:r>
    </w:p>
    <w:p>
      <w:pPr>
        <w:keepNext w:val="0"/>
        <w:keepLines w:val="0"/>
        <w:pageBreakBefore w:val="0"/>
        <w:widowControl w:val="0"/>
        <w:kinsoku/>
        <w:wordWrap/>
        <w:overflowPunct w:val="0"/>
        <w:topLinePunct w:val="0"/>
        <w:bidi w:val="0"/>
        <w:adjustRightInd w:val="0"/>
        <w:snapToGrid w:val="0"/>
        <w:spacing w:line="579"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p>
      <w:pPr>
        <w:overflowPunct w:val="0"/>
        <w:adjustRightInd w:val="0"/>
        <w:snapToGrid w:val="0"/>
        <w:spacing w:line="579" w:lineRule="exact"/>
        <w:rPr>
          <w:rFonts w:hint="default" w:ascii="Times New Roman" w:hAnsi="Times New Roman" w:eastAsia="方正黑体_GBK" w:cs="Times New Roman"/>
          <w:bCs/>
          <w:sz w:val="32"/>
          <w:szCs w:val="32"/>
        </w:rPr>
      </w:pPr>
    </w:p>
    <w:p>
      <w:pPr>
        <w:overflowPunct w:val="0"/>
        <w:adjustRightInd w:val="0"/>
        <w:snapToGrid w:val="0"/>
        <w:spacing w:line="579" w:lineRule="exact"/>
        <w:rPr>
          <w:rFonts w:hint="default" w:ascii="Times New Roman" w:hAnsi="Times New Roman" w:eastAsia="方正黑体_GBK" w:cs="Times New Roman"/>
          <w:bCs/>
          <w:sz w:val="32"/>
          <w:szCs w:val="32"/>
        </w:rPr>
      </w:pPr>
    </w:p>
    <w:p>
      <w:pPr>
        <w:overflowPunct w:val="0"/>
        <w:adjustRightInd w:val="0"/>
        <w:snapToGrid w:val="0"/>
        <w:spacing w:line="579" w:lineRule="exact"/>
        <w:rPr>
          <w:rFonts w:hint="default" w:ascii="Times New Roman" w:hAnsi="Times New Roman" w:eastAsia="方正黑体_GBK" w:cs="Times New Roman"/>
          <w:bCs/>
          <w:sz w:val="32"/>
          <w:szCs w:val="32"/>
        </w:rPr>
      </w:pPr>
    </w:p>
    <w:p>
      <w:pPr>
        <w:overflowPunct w:val="0"/>
        <w:adjustRightInd w:val="0"/>
        <w:snapToGrid w:val="0"/>
        <w:spacing w:line="579" w:lineRule="exact"/>
        <w:rPr>
          <w:rFonts w:hint="default" w:ascii="Times New Roman" w:hAnsi="Times New Roman" w:eastAsia="方正黑体_GBK" w:cs="Times New Roman"/>
          <w:bCs/>
          <w:sz w:val="32"/>
          <w:szCs w:val="32"/>
        </w:rPr>
      </w:pPr>
    </w:p>
    <w:p>
      <w:pPr>
        <w:overflowPunct w:val="0"/>
        <w:adjustRightInd w:val="0"/>
        <w:snapToGrid w:val="0"/>
        <w:spacing w:line="579" w:lineRule="exact"/>
        <w:rPr>
          <w:rFonts w:hint="default" w:ascii="Times New Roman" w:hAnsi="Times New Roman" w:eastAsia="方正黑体_GBK" w:cs="Times New Roman"/>
          <w:bCs/>
          <w:sz w:val="32"/>
          <w:szCs w:val="32"/>
        </w:rPr>
      </w:pPr>
    </w:p>
    <w:p>
      <w:pPr>
        <w:keepNext w:val="0"/>
        <w:keepLines w:val="0"/>
        <w:pageBreakBefore w:val="0"/>
        <w:kinsoku/>
        <w:wordWrap/>
        <w:overflowPunct w:val="0"/>
        <w:topLinePunct w:val="0"/>
        <w:bidi w:val="0"/>
        <w:adjustRightInd w:val="0"/>
        <w:snapToGrid w:val="0"/>
        <w:spacing w:line="560" w:lineRule="exact"/>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附件</w:t>
      </w:r>
    </w:p>
    <w:p>
      <w:pPr>
        <w:keepNext w:val="0"/>
        <w:keepLines w:val="0"/>
        <w:pageBreakBefore w:val="0"/>
        <w:kinsoku/>
        <w:wordWrap/>
        <w:overflowPunct w:val="0"/>
        <w:topLinePunct w:val="0"/>
        <w:bidi w:val="0"/>
        <w:adjustRightInd w:val="0"/>
        <w:snapToGrid w:val="0"/>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_GBK" w:cs="Times New Roman"/>
          <w:bCs/>
          <w:sz w:val="44"/>
          <w:szCs w:val="44"/>
        </w:rPr>
        <w:t>征地补偿安置方案</w:t>
      </w:r>
    </w:p>
    <w:p>
      <w:pPr>
        <w:keepNext w:val="0"/>
        <w:keepLines w:val="0"/>
        <w:pageBreakBefore w:val="0"/>
        <w:kinsoku/>
        <w:wordWrap/>
        <w:overflowPunct w:val="0"/>
        <w:topLinePunct w:val="0"/>
        <w:bidi w:val="0"/>
        <w:adjustRightInd w:val="0"/>
        <w:snapToGrid w:val="0"/>
        <w:spacing w:line="560" w:lineRule="exact"/>
        <w:ind w:firstLine="640" w:firstLineChars="200"/>
        <w:jc w:val="left"/>
        <w:rPr>
          <w:rFonts w:hint="default" w:ascii="Times New Roman" w:hAnsi="Times New Roman" w:eastAsia="方正仿宋_GBK" w:cs="Times New Roman"/>
          <w:bCs/>
          <w:sz w:val="32"/>
          <w:szCs w:val="32"/>
        </w:rPr>
      </w:pPr>
    </w:p>
    <w:p>
      <w:pPr>
        <w:keepNext w:val="0"/>
        <w:keepLines w:val="0"/>
        <w:pageBreakBefore w:val="0"/>
        <w:kinsoku/>
        <w:wordWrap/>
        <w:overflowPunct w:val="0"/>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为实施</w:t>
      </w:r>
      <w:r>
        <w:rPr>
          <w:rFonts w:hint="default" w:ascii="Times New Roman" w:hAnsi="Times New Roman" w:eastAsia="方正仿宋_GBK" w:cs="Times New Roman"/>
          <w:bCs/>
          <w:sz w:val="32"/>
          <w:szCs w:val="32"/>
          <w:lang w:val="en-US" w:eastAsia="zh-CN"/>
        </w:rPr>
        <w:t>江津区城镇规划建设项目</w:t>
      </w:r>
      <w:r>
        <w:rPr>
          <w:rFonts w:hint="default" w:ascii="Times New Roman" w:hAnsi="Times New Roman" w:eastAsia="方正仿宋_GBK" w:cs="Times New Roman"/>
          <w:bCs/>
          <w:sz w:val="32"/>
          <w:szCs w:val="32"/>
        </w:rPr>
        <w:t>需要，江津区人民政府拟征收</w:t>
      </w:r>
      <w:r>
        <w:rPr>
          <w:rFonts w:hint="default" w:ascii="Times New Roman" w:hAnsi="Times New Roman" w:eastAsia="方正仿宋_GBK" w:cs="Times New Roman"/>
          <w:bCs/>
          <w:sz w:val="32"/>
          <w:szCs w:val="32"/>
          <w:lang w:val="en-US" w:eastAsia="zh-CN"/>
        </w:rPr>
        <w:t>江津区珞璜镇顺江社区凉风岗居民小组等2个镇2个社区（村）3个居民（村民）小组集体土地11.3221公</w:t>
      </w:r>
      <w:r>
        <w:rPr>
          <w:rFonts w:hint="default" w:ascii="Times New Roman" w:hAnsi="Times New Roman" w:eastAsia="方正仿宋_GBK" w:cs="Times New Roman"/>
          <w:bCs/>
          <w:sz w:val="32"/>
          <w:szCs w:val="32"/>
        </w:rPr>
        <w:t>顷。根据《重庆市集体土地征收补偿安置办法》（重庆市人民政府令第344号）、《重庆市人民政府关于公布征地补偿安置标准有关事项的通知》（渝府发〔2021〕14号）、《重庆市规划和自然资源局关于重新公布征地区片综合地价的通知》（渝规资规范〔2023〕10号）、《重庆市江津区集体土地征收补偿安置实施办法》（江津府发〔2021〕15号）和有关法律法规规定，结合我区实际，拟定征地补偿安置方案如下。</w:t>
      </w:r>
    </w:p>
    <w:p>
      <w:pPr>
        <w:keepNext w:val="0"/>
        <w:keepLines w:val="0"/>
        <w:pageBreakBefore w:val="0"/>
        <w:kinsoku/>
        <w:wordWrap/>
        <w:topLinePunct w:val="0"/>
        <w:bidi w:val="0"/>
        <w:spacing w:line="560" w:lineRule="exact"/>
        <w:ind w:firstLine="627" w:firstLineChars="196"/>
        <w:textAlignment w:val="auto"/>
        <w:rPr>
          <w:rFonts w:hint="default" w:ascii="Times New Roman" w:hAnsi="Times New Roman" w:eastAsia="方正黑体_GBK" w:cs="Times New Roman"/>
          <w:bCs/>
          <w:kern w:val="2"/>
          <w:sz w:val="32"/>
          <w:szCs w:val="32"/>
        </w:rPr>
      </w:pPr>
      <w:r>
        <w:rPr>
          <w:rFonts w:hint="default" w:ascii="Times New Roman" w:hAnsi="Times New Roman" w:eastAsia="方正黑体_GBK" w:cs="Times New Roman"/>
          <w:bCs/>
          <w:kern w:val="2"/>
          <w:sz w:val="32"/>
          <w:szCs w:val="32"/>
        </w:rPr>
        <w:t>一、征收范围及土地现状</w:t>
      </w:r>
    </w:p>
    <w:p>
      <w:pPr>
        <w:keepNext w:val="0"/>
        <w:keepLines w:val="0"/>
        <w:pageBreakBefore w:val="0"/>
        <w:kinsoku/>
        <w:wordWrap/>
        <w:overflowPunct w:val="0"/>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拟征收</w:t>
      </w:r>
      <w:r>
        <w:rPr>
          <w:rFonts w:hint="default" w:ascii="Times New Roman" w:hAnsi="Times New Roman" w:eastAsia="方正仿宋_GBK" w:cs="Times New Roman"/>
          <w:bCs/>
          <w:sz w:val="32"/>
          <w:szCs w:val="32"/>
          <w:lang w:val="en-US" w:eastAsia="zh-CN"/>
        </w:rPr>
        <w:t>珞璜镇顺江社区凉风岗居民小组等2个镇2个社区（村）3个居民（村民）小组集体土地11.3221</w:t>
      </w:r>
      <w:r>
        <w:rPr>
          <w:rFonts w:hint="default" w:ascii="Times New Roman" w:hAnsi="Times New Roman" w:eastAsia="方正仿宋_GBK" w:cs="Times New Roman"/>
          <w:bCs/>
          <w:sz w:val="32"/>
          <w:szCs w:val="32"/>
        </w:rPr>
        <w:t>顷，其中：农用地</w:t>
      </w:r>
      <w:r>
        <w:rPr>
          <w:rFonts w:hint="default" w:ascii="Times New Roman" w:hAnsi="Times New Roman" w:eastAsia="方正仿宋_GBK" w:cs="Times New Roman"/>
          <w:bCs/>
          <w:sz w:val="32"/>
          <w:szCs w:val="32"/>
          <w:lang w:val="en-US" w:eastAsia="zh-CN"/>
        </w:rPr>
        <w:t>10.505</w:t>
      </w:r>
      <w:r>
        <w:rPr>
          <w:rFonts w:hint="default" w:ascii="Times New Roman" w:hAnsi="Times New Roman" w:eastAsia="方正仿宋_GBK" w:cs="Times New Roman"/>
          <w:bCs/>
          <w:sz w:val="32"/>
          <w:szCs w:val="32"/>
        </w:rPr>
        <w:t>公顷、</w:t>
      </w:r>
      <w:r>
        <w:rPr>
          <w:rFonts w:hint="default" w:ascii="Times New Roman" w:hAnsi="Times New Roman" w:eastAsia="方正仿宋_GBK" w:cs="Times New Roman"/>
          <w:bCs/>
          <w:sz w:val="32"/>
          <w:szCs w:val="32"/>
          <w:lang w:val="en-US" w:eastAsia="zh-CN"/>
        </w:rPr>
        <w:t>其他用地0.8171公顷</w:t>
      </w:r>
      <w:r>
        <w:rPr>
          <w:rFonts w:hint="default" w:ascii="Times New Roman" w:hAnsi="Times New Roman" w:eastAsia="方正仿宋_GBK" w:cs="Times New Roman"/>
          <w:bCs/>
          <w:sz w:val="32"/>
          <w:szCs w:val="32"/>
        </w:rPr>
        <w:t>，具体征收范围以勘测定界图为准。</w:t>
      </w:r>
    </w:p>
    <w:p>
      <w:pPr>
        <w:keepNext w:val="0"/>
        <w:keepLines w:val="0"/>
        <w:pageBreakBefore w:val="0"/>
        <w:kinsoku/>
        <w:wordWrap/>
        <w:overflowPunct w:val="0"/>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拟征收土地的权属、地类、面积详见《土地分类面积及征地安置人员情况表》；征地实施的地类综合土地所有权证、承包权证、实际利用情况等开展土地现状调查，并以此作为补偿和计算安置人数的依据。</w:t>
      </w:r>
      <w:r>
        <w:rPr>
          <w:rFonts w:hint="default" w:ascii="Times New Roman" w:hAnsi="Times New Roman" w:eastAsia="方正仿宋_GBK" w:cs="Times New Roman"/>
          <w:sz w:val="32"/>
          <w:szCs w:val="32"/>
        </w:rPr>
        <w:t>拟征收土地范围内</w:t>
      </w:r>
      <w:r>
        <w:rPr>
          <w:rFonts w:hint="default" w:ascii="Times New Roman" w:hAnsi="Times New Roman" w:eastAsia="方正仿宋_GBK" w:cs="Times New Roman"/>
          <w:sz w:val="32"/>
          <w:szCs w:val="32"/>
          <w:lang w:val="en-US" w:eastAsia="zh-CN"/>
        </w:rPr>
        <w:t>有</w:t>
      </w:r>
      <w:r>
        <w:rPr>
          <w:rFonts w:hint="default" w:ascii="Times New Roman" w:hAnsi="Times New Roman" w:eastAsia="方正仿宋_GBK" w:cs="Times New Roman"/>
          <w:sz w:val="32"/>
          <w:szCs w:val="32"/>
        </w:rPr>
        <w:t>房屋拆迁</w:t>
      </w:r>
      <w:r>
        <w:rPr>
          <w:rFonts w:hint="default" w:ascii="Times New Roman" w:hAnsi="Times New Roman" w:eastAsia="方正仿宋_GBK" w:cs="Times New Roman"/>
          <w:bCs/>
          <w:sz w:val="32"/>
          <w:szCs w:val="32"/>
        </w:rPr>
        <w:t>。</w:t>
      </w:r>
    </w:p>
    <w:p>
      <w:pPr>
        <w:keepNext w:val="0"/>
        <w:keepLines w:val="0"/>
        <w:pageBreakBefore w:val="0"/>
        <w:kinsoku/>
        <w:wordWrap/>
        <w:topLinePunct w:val="0"/>
        <w:bidi w:val="0"/>
        <w:spacing w:line="560" w:lineRule="exact"/>
        <w:ind w:firstLine="627" w:firstLineChars="196"/>
        <w:textAlignment w:val="auto"/>
        <w:rPr>
          <w:rFonts w:hint="default" w:ascii="Times New Roman" w:hAnsi="Times New Roman" w:eastAsia="方正黑体_GBK" w:cs="Times New Roman"/>
          <w:bCs/>
          <w:kern w:val="2"/>
          <w:sz w:val="32"/>
          <w:szCs w:val="32"/>
        </w:rPr>
      </w:pPr>
      <w:r>
        <w:rPr>
          <w:rFonts w:hint="default" w:ascii="Times New Roman" w:hAnsi="Times New Roman" w:eastAsia="方正黑体_GBK" w:cs="Times New Roman"/>
          <w:bCs/>
          <w:kern w:val="2"/>
          <w:sz w:val="32"/>
          <w:szCs w:val="32"/>
        </w:rPr>
        <w:t>二、征收目的</w:t>
      </w:r>
    </w:p>
    <w:p>
      <w:pPr>
        <w:keepNext w:val="0"/>
        <w:keepLines w:val="0"/>
        <w:pageBreakBefore w:val="0"/>
        <w:kinsoku/>
        <w:wordWrap/>
        <w:overflowPunct w:val="0"/>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Cs/>
          <w:sz w:val="32"/>
          <w:szCs w:val="32"/>
          <w:highlight w:val="lightGray"/>
        </w:rPr>
      </w:pPr>
      <w:r>
        <w:rPr>
          <w:rFonts w:hint="default" w:ascii="Times New Roman" w:hAnsi="Times New Roman" w:eastAsia="方正仿宋_GBK" w:cs="Times New Roman"/>
          <w:bCs/>
          <w:sz w:val="32"/>
          <w:szCs w:val="32"/>
        </w:rPr>
        <w:t>土地征收后，拟用于实施</w:t>
      </w:r>
      <w:r>
        <w:rPr>
          <w:rFonts w:hint="default" w:ascii="Times New Roman" w:hAnsi="Times New Roman" w:eastAsia="方正仿宋_GBK" w:cs="Times New Roman"/>
          <w:bCs/>
          <w:sz w:val="32"/>
          <w:szCs w:val="32"/>
          <w:lang w:val="en-US" w:eastAsia="zh-CN"/>
        </w:rPr>
        <w:t>江津区城镇规划建设项目</w:t>
      </w:r>
      <w:r>
        <w:rPr>
          <w:rFonts w:hint="default" w:ascii="Times New Roman" w:hAnsi="Times New Roman" w:eastAsia="方正仿宋_GBK" w:cs="Times New Roman"/>
          <w:bCs/>
          <w:sz w:val="32"/>
          <w:szCs w:val="32"/>
        </w:rPr>
        <w:t>。</w:t>
      </w:r>
    </w:p>
    <w:p>
      <w:pPr>
        <w:keepNext w:val="0"/>
        <w:keepLines w:val="0"/>
        <w:pageBreakBefore w:val="0"/>
        <w:kinsoku/>
        <w:wordWrap/>
        <w:topLinePunct w:val="0"/>
        <w:bidi w:val="0"/>
        <w:spacing w:line="560" w:lineRule="exact"/>
        <w:ind w:firstLine="627" w:firstLineChars="196"/>
        <w:textAlignment w:val="auto"/>
        <w:rPr>
          <w:rFonts w:hint="default" w:ascii="Times New Roman" w:hAnsi="Times New Roman" w:eastAsia="方正黑体_GBK" w:cs="Times New Roman"/>
          <w:bCs/>
          <w:kern w:val="2"/>
          <w:sz w:val="32"/>
          <w:szCs w:val="32"/>
        </w:rPr>
      </w:pPr>
      <w:r>
        <w:rPr>
          <w:rFonts w:hint="default" w:ascii="Times New Roman" w:hAnsi="Times New Roman" w:eastAsia="方正黑体_GBK" w:cs="Times New Roman"/>
          <w:bCs/>
          <w:kern w:val="2"/>
          <w:sz w:val="32"/>
          <w:szCs w:val="32"/>
        </w:rPr>
        <w:t>三、补偿方式和标准</w:t>
      </w:r>
    </w:p>
    <w:p>
      <w:pPr>
        <w:keepNext w:val="0"/>
        <w:keepLines w:val="0"/>
        <w:pageBreakBefore w:val="0"/>
        <w:kinsoku/>
        <w:wordWrap/>
        <w:overflowPunct w:val="0"/>
        <w:topLinePunct w:val="0"/>
        <w:bidi w:val="0"/>
        <w:adjustRightInd w:val="0"/>
        <w:snapToGrid w:val="0"/>
        <w:spacing w:line="560" w:lineRule="exact"/>
        <w:ind w:firstLine="640" w:firstLineChars="200"/>
        <w:textAlignment w:val="auto"/>
        <w:rPr>
          <w:rFonts w:hint="default" w:ascii="Times New Roman" w:hAnsi="Times New Roman" w:eastAsia="方正楷体_GBK" w:cs="Times New Roman"/>
          <w:bCs/>
          <w:kern w:val="2"/>
          <w:sz w:val="32"/>
          <w:szCs w:val="32"/>
        </w:rPr>
      </w:pPr>
      <w:r>
        <w:rPr>
          <w:rFonts w:hint="default" w:ascii="Times New Roman" w:hAnsi="Times New Roman" w:eastAsia="方正楷体_GBK" w:cs="Times New Roman"/>
          <w:bCs/>
          <w:kern w:val="2"/>
          <w:sz w:val="32"/>
          <w:szCs w:val="32"/>
        </w:rPr>
        <w:t>（一）土地补偿费和安置补助费</w:t>
      </w:r>
    </w:p>
    <w:p>
      <w:pPr>
        <w:keepNext w:val="0"/>
        <w:keepLines w:val="0"/>
        <w:pageBreakBefore w:val="0"/>
        <w:kinsoku/>
        <w:wordWrap/>
        <w:overflowPunct w:val="0"/>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征收农用地、建设用地和未利用地的土地补偿费和安置补助费，不分地类，按照市人民政府制定公布的区片综合地价标准乘以被征收土地面积计算。区片综合地价中，土地补偿费占30%，安置补助费占70%，具体补偿费用情况详见《土地补偿费和安置补助费明细表》。</w:t>
      </w:r>
    </w:p>
    <w:p>
      <w:pPr>
        <w:keepNext w:val="0"/>
        <w:keepLines w:val="0"/>
        <w:pageBreakBefore w:val="0"/>
        <w:numPr>
          <w:ilvl w:val="0"/>
          <w:numId w:val="1"/>
        </w:numPr>
        <w:kinsoku/>
        <w:wordWrap/>
        <w:overflowPunct w:val="0"/>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kern w:val="2"/>
          <w:sz w:val="32"/>
          <w:szCs w:val="32"/>
        </w:rPr>
        <w:t>土地补偿费。</w:t>
      </w:r>
      <w:r>
        <w:rPr>
          <w:rFonts w:hint="default" w:ascii="Times New Roman" w:hAnsi="Times New Roman" w:eastAsia="方正仿宋_GBK" w:cs="Times New Roman"/>
          <w:bCs/>
          <w:sz w:val="32"/>
          <w:szCs w:val="32"/>
        </w:rPr>
        <w:t>土地补偿费由区土地房屋征收中心支付给被征地农村集体经济组织。其中，征收家庭承包土地的，土地补偿费的80%由农村集体经济组织按照被征收土地面积发放给承包经营户，土地补偿费的20%由农村集体经济组织依法管理和使用；征收未发包土地或者其他方式承包土地的，土地补偿费由农村集体经济组织依法管理和使用。</w:t>
      </w:r>
    </w:p>
    <w:p>
      <w:pPr>
        <w:keepNext w:val="0"/>
        <w:keepLines w:val="0"/>
        <w:pageBreakBefore w:val="0"/>
        <w:widowControl w:val="0"/>
        <w:numPr>
          <w:numId w:val="0"/>
        </w:numPr>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bCs/>
          <w:kern w:val="2"/>
          <w:sz w:val="32"/>
          <w:szCs w:val="32"/>
          <w:lang w:val="en-US" w:eastAsia="zh-CN"/>
        </w:rPr>
        <w:t xml:space="preserve">2. </w:t>
      </w:r>
      <w:r>
        <w:rPr>
          <w:rFonts w:hint="default" w:ascii="Times New Roman" w:hAnsi="Times New Roman" w:eastAsia="方正仿宋_GBK" w:cs="Times New Roman"/>
          <w:bCs/>
          <w:kern w:val="2"/>
          <w:sz w:val="32"/>
          <w:szCs w:val="32"/>
        </w:rPr>
        <w:t>安置补助费</w:t>
      </w:r>
      <w:r>
        <w:rPr>
          <w:rFonts w:hint="default" w:ascii="Times New Roman" w:hAnsi="Times New Roman" w:eastAsia="方正仿宋_GBK" w:cs="Times New Roman"/>
          <w:bCs/>
          <w:kern w:val="2"/>
          <w:sz w:val="32"/>
          <w:szCs w:val="32"/>
        </w:rPr>
        <w:t>。</w:t>
      </w:r>
      <w:r>
        <w:rPr>
          <w:rFonts w:hint="default" w:ascii="Times New Roman" w:hAnsi="Times New Roman" w:eastAsia="方正仿宋_GBK" w:cs="Times New Roman"/>
          <w:bCs/>
          <w:sz w:val="32"/>
          <w:szCs w:val="32"/>
        </w:rPr>
        <w:t>安置补助费由区土地房屋征收中心按照36000元/人的发放标准支付给人员安置对象。安置补助费支付后有结余的，结余部分交由农村集体经济组织依法管理和使用；不足的，由区人民政府安排资金予以补足。</w:t>
      </w:r>
    </w:p>
    <w:p>
      <w:pPr>
        <w:keepNext w:val="0"/>
        <w:keepLines w:val="0"/>
        <w:pageBreakBefore w:val="0"/>
        <w:kinsoku/>
        <w:wordWrap/>
        <w:topLinePunct w:val="0"/>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（二）农村房屋补偿费</w:t>
      </w:r>
    </w:p>
    <w:p>
      <w:pPr>
        <w:keepNext w:val="0"/>
        <w:keepLines w:val="0"/>
        <w:pageBreakBefore w:val="0"/>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农村房屋以不动产权属证书记载的合法建筑面积为准，按照《重庆市江津区集体土地征收补偿安置实施办法》（江津府发〔2021〕15号）制定公布的重置价格标准补偿。</w:t>
      </w:r>
    </w:p>
    <w:p>
      <w:pPr>
        <w:keepNext w:val="0"/>
        <w:keepLines w:val="0"/>
        <w:pageBreakBefore w:val="0"/>
        <w:kinsoku/>
        <w:wordWrap/>
        <w:overflowPunct w:val="0"/>
        <w:topLinePunct w:val="0"/>
        <w:bidi w:val="0"/>
        <w:adjustRightInd w:val="0"/>
        <w:snapToGrid w:val="0"/>
        <w:spacing w:line="560" w:lineRule="exact"/>
        <w:ind w:firstLine="640" w:firstLineChars="200"/>
        <w:textAlignment w:val="auto"/>
        <w:rPr>
          <w:rFonts w:hint="default" w:ascii="Times New Roman" w:hAnsi="Times New Roman" w:eastAsia="方正楷体_GBK" w:cs="Times New Roman"/>
          <w:bCs/>
          <w:sz w:val="32"/>
          <w:szCs w:val="32"/>
        </w:rPr>
      </w:pPr>
      <w:r>
        <w:rPr>
          <w:rFonts w:hint="default" w:ascii="Times New Roman" w:hAnsi="Times New Roman" w:eastAsia="方正楷体_GBK" w:cs="Times New Roman"/>
          <w:bCs/>
          <w:kern w:val="2"/>
          <w:sz w:val="32"/>
          <w:szCs w:val="32"/>
        </w:rPr>
        <w:t>（</w:t>
      </w:r>
      <w:r>
        <w:rPr>
          <w:rFonts w:hint="default" w:ascii="Times New Roman" w:hAnsi="Times New Roman" w:eastAsia="方正楷体_GBK" w:cs="Times New Roman"/>
          <w:bCs/>
          <w:kern w:val="2"/>
          <w:sz w:val="32"/>
          <w:szCs w:val="32"/>
        </w:rPr>
        <w:t>三</w:t>
      </w:r>
      <w:r>
        <w:rPr>
          <w:rFonts w:hint="default" w:ascii="Times New Roman" w:hAnsi="Times New Roman" w:eastAsia="方正楷体_GBK" w:cs="Times New Roman"/>
          <w:bCs/>
          <w:kern w:val="2"/>
          <w:sz w:val="32"/>
          <w:szCs w:val="32"/>
        </w:rPr>
        <w:t>）</w:t>
      </w:r>
      <w:r>
        <w:rPr>
          <w:rFonts w:hint="default" w:ascii="Times New Roman" w:hAnsi="Times New Roman" w:eastAsia="方正楷体_GBK" w:cs="Times New Roman"/>
          <w:bCs/>
          <w:sz w:val="32"/>
          <w:szCs w:val="32"/>
        </w:rPr>
        <w:t>其他地上附着物和青苗补偿费</w:t>
      </w:r>
    </w:p>
    <w:p>
      <w:pPr>
        <w:keepNext w:val="0"/>
        <w:keepLines w:val="0"/>
        <w:pageBreakBefore w:val="0"/>
        <w:kinsoku/>
        <w:wordWrap/>
        <w:topLinePunct w:val="0"/>
        <w:bidi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青苗、林木和其他经济作物等实行综合定额补偿，以批准征收土地总面积扣除建设用地和林地后的面积为准，综合定额补偿标准为每亩11000元；除房屋外的建（构）筑物实行据实清理，补偿标准按照江津府发〔2021〕15号附件4执行。</w:t>
      </w:r>
    </w:p>
    <w:p>
      <w:pPr>
        <w:keepNext w:val="0"/>
        <w:keepLines w:val="0"/>
        <w:pageBreakBefore w:val="0"/>
        <w:kinsoku/>
        <w:wordWrap/>
        <w:overflowPunct w:val="0"/>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征收林地的林木及附着物补偿标准，按照国家和本市征收林地的有关规定执行，补偿标准低于综合定额标准的，按照综合定额标准进行补偿。</w:t>
      </w:r>
    </w:p>
    <w:p>
      <w:pPr>
        <w:keepNext w:val="0"/>
        <w:keepLines w:val="0"/>
        <w:pageBreakBefore w:val="0"/>
        <w:kinsoku/>
        <w:wordWrap/>
        <w:topLinePunct w:val="0"/>
        <w:bidi w:val="0"/>
        <w:spacing w:line="560" w:lineRule="exact"/>
        <w:ind w:firstLine="627" w:firstLineChars="196"/>
        <w:textAlignment w:val="auto"/>
        <w:rPr>
          <w:rFonts w:hint="default" w:ascii="Times New Roman" w:hAnsi="Times New Roman" w:eastAsia="方正黑体_GBK" w:cs="Times New Roman"/>
          <w:bCs/>
          <w:kern w:val="2"/>
          <w:sz w:val="32"/>
          <w:szCs w:val="32"/>
        </w:rPr>
      </w:pPr>
      <w:r>
        <w:rPr>
          <w:rFonts w:hint="default" w:ascii="Times New Roman" w:hAnsi="Times New Roman" w:eastAsia="方正黑体_GBK" w:cs="Times New Roman"/>
          <w:bCs/>
          <w:kern w:val="2"/>
          <w:sz w:val="32"/>
          <w:szCs w:val="32"/>
        </w:rPr>
        <w:t>四、安置对象及安置方式</w:t>
      </w:r>
    </w:p>
    <w:p>
      <w:pPr>
        <w:keepNext w:val="0"/>
        <w:keepLines w:val="0"/>
        <w:pageBreakBefore w:val="0"/>
        <w:kinsoku/>
        <w:wordWrap/>
        <w:overflowPunct w:val="0"/>
        <w:topLinePunct w:val="0"/>
        <w:bidi w:val="0"/>
        <w:adjustRightInd w:val="0"/>
        <w:snapToGrid w:val="0"/>
        <w:spacing w:line="560" w:lineRule="exact"/>
        <w:ind w:firstLine="640" w:firstLineChars="200"/>
        <w:textAlignment w:val="auto"/>
        <w:rPr>
          <w:rFonts w:hint="default" w:ascii="Times New Roman" w:hAnsi="Times New Roman" w:eastAsia="方正楷体_GBK" w:cs="Times New Roman"/>
          <w:b w:val="0"/>
          <w:bCs/>
          <w:kern w:val="2"/>
          <w:sz w:val="32"/>
          <w:szCs w:val="32"/>
        </w:rPr>
      </w:pPr>
      <w:r>
        <w:rPr>
          <w:rFonts w:hint="default" w:ascii="Times New Roman" w:hAnsi="Times New Roman" w:eastAsia="方正楷体_GBK" w:cs="Times New Roman"/>
          <w:b w:val="0"/>
          <w:bCs/>
          <w:kern w:val="2"/>
          <w:sz w:val="32"/>
          <w:szCs w:val="32"/>
        </w:rPr>
        <w:t>（一）人员安置</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人员安置对象范围及具体确定办法，按照《重庆市江津区集体土地征收补偿安置实施办法》（江津府发〔2021〕15号）相关规定执行。本次征地人员安置对象共</w:t>
      </w:r>
      <w:r>
        <w:rPr>
          <w:rFonts w:hint="default" w:ascii="Times New Roman" w:hAnsi="Times New Roman" w:eastAsia="方正仿宋_GBK" w:cs="Times New Roman"/>
          <w:sz w:val="32"/>
          <w:szCs w:val="32"/>
          <w:lang w:val="en-US" w:eastAsia="zh-CN"/>
        </w:rPr>
        <w:t>77</w:t>
      </w:r>
      <w:r>
        <w:rPr>
          <w:rFonts w:hint="default" w:ascii="Times New Roman" w:hAnsi="Times New Roman" w:eastAsia="方正仿宋_GBK" w:cs="Times New Roman"/>
          <w:sz w:val="32"/>
          <w:szCs w:val="32"/>
        </w:rPr>
        <w:t>人(具体安置人数以江津区人民政府核定为准)，其中：</w:t>
      </w:r>
      <w:r>
        <w:rPr>
          <w:rFonts w:hint="default" w:ascii="Times New Roman" w:hAnsi="Times New Roman" w:eastAsia="方正仿宋_GBK" w:cs="Times New Roman"/>
          <w:sz w:val="32"/>
          <w:szCs w:val="32"/>
          <w:lang w:val="en-US" w:eastAsia="zh-CN"/>
        </w:rPr>
        <w:t>支坪镇仁龙村新滩村民小组44人，大石包村民小组33人。</w:t>
      </w:r>
      <w:r>
        <w:rPr>
          <w:rFonts w:hint="default" w:ascii="Times New Roman" w:hAnsi="Times New Roman" w:eastAsia="方正仿宋_GBK" w:cs="Times New Roman"/>
          <w:sz w:val="32"/>
          <w:szCs w:val="32"/>
        </w:rPr>
        <w:t>由区土地房屋征收中心采取发放安置补助费的方式进行安置，每个人员安置对象的安置补助费发放标准为36000元。</w:t>
      </w:r>
    </w:p>
    <w:p>
      <w:pPr>
        <w:keepNext w:val="0"/>
        <w:keepLines w:val="0"/>
        <w:pageBreakBefore w:val="0"/>
        <w:kinsoku/>
        <w:wordWrap/>
        <w:topLinePunct w:val="0"/>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（二）住房安置</w:t>
      </w:r>
    </w:p>
    <w:p>
      <w:pPr>
        <w:keepNext w:val="0"/>
        <w:keepLines w:val="0"/>
        <w:pageBreakBefore w:val="0"/>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住房安置对象范围及具体确定办法，按照《重庆市江津区集体土地征收补偿安置实施办法》（江津府发〔2021〕15号）相关规定执行。</w:t>
      </w:r>
    </w:p>
    <w:p>
      <w:pPr>
        <w:keepNext w:val="0"/>
        <w:keepLines w:val="0"/>
        <w:pageBreakBefore w:val="0"/>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住房安置方式：</w:t>
      </w:r>
      <w:r>
        <w:rPr>
          <w:rFonts w:hint="default" w:ascii="Times New Roman" w:hAnsi="Times New Roman" w:eastAsia="方正仿宋_GBK" w:cs="Times New Roman"/>
          <w:sz w:val="32"/>
          <w:szCs w:val="32"/>
        </w:rPr>
        <w:t>货币安置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bidi="ar-SA"/>
        </w:rPr>
        <w:t>农村宅基地自建安置</w:t>
      </w:r>
      <w:r>
        <w:rPr>
          <w:rFonts w:hint="default" w:ascii="Times New Roman" w:hAnsi="Times New Roman" w:eastAsia="方正仿宋_GBK" w:cs="Times New Roman"/>
          <w:sz w:val="32"/>
          <w:szCs w:val="32"/>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货币安置</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住房安置对象选择货币安置的，住房安置建筑面积标准为每人30平方米；符合《重庆市江津区集体土地征收补偿安置办法》（江津府发〔2021〕15号）第二十三条规定的，按相应建筑面积标准予以安置。</w:t>
      </w:r>
    </w:p>
    <w:p>
      <w:pPr>
        <w:keepNext w:val="0"/>
        <w:keepLines w:val="0"/>
        <w:pageBreakBefore w:val="0"/>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货币安置款额等于住房货币安置价格标准乘以应安置建筑面积。按4500元/平方米执行，即135000元/人。</w:t>
      </w:r>
    </w:p>
    <w:p>
      <w:pPr>
        <w:keepNext w:val="0"/>
        <w:keepLines w:val="0"/>
        <w:pageBreakBefore w:val="0"/>
        <w:numPr>
          <w:numId w:val="0"/>
        </w:numPr>
        <w:kinsoku/>
        <w:wordWrap/>
        <w:topLinePunct w:val="0"/>
        <w:bidi w:val="0"/>
        <w:adjustRightInd w:val="0"/>
        <w:snapToGrid w:val="0"/>
        <w:spacing w:line="560" w:lineRule="exact"/>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sz w:val="32"/>
          <w:szCs w:val="32"/>
          <w:lang w:val="en-US" w:eastAsia="zh-CN" w:bidi="ar-SA"/>
        </w:rPr>
        <w:t xml:space="preserve">2. </w:t>
      </w:r>
      <w:r>
        <w:rPr>
          <w:rFonts w:hint="default" w:ascii="Times New Roman" w:hAnsi="Times New Roman" w:eastAsia="方正仿宋_GBK" w:cs="Times New Roman"/>
          <w:sz w:val="32"/>
          <w:szCs w:val="32"/>
          <w:lang w:val="en-US" w:eastAsia="zh-CN" w:bidi="ar-SA"/>
        </w:rPr>
        <w:t>农村宅基地自建安置</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住房安置对象选择农村宅基地自建安置的，应当符合乡（镇）土地利用总体规划、村庄规划，以及国家和本市关于宅基地建房的有关规定。农村村民宅基地标准为每人30平方米，3人以下户按3人计算，4人户按4人计算，5人以上户按5人计算。实行农村宅基地自建安置的，其被拆迁住房按照对应结构重置价格标准的50%予以自建住房补助，并按农村宅基地审批标准给予100元/平方米的新宅基地补助。</w:t>
      </w:r>
    </w:p>
    <w:p>
      <w:pPr>
        <w:keepNext w:val="0"/>
        <w:keepLines w:val="0"/>
        <w:pageBreakBefore w:val="0"/>
        <w:numPr>
          <w:numId w:val="0"/>
        </w:numPr>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3. </w:t>
      </w:r>
      <w:r>
        <w:rPr>
          <w:rFonts w:hint="default" w:ascii="Times New Roman" w:hAnsi="Times New Roman" w:eastAsia="方正仿宋_GBK" w:cs="Times New Roman"/>
          <w:sz w:val="32"/>
          <w:szCs w:val="32"/>
        </w:rPr>
        <w:t>搬迁和临时安置。</w:t>
      </w:r>
      <w:r>
        <w:rPr>
          <w:rFonts w:hint="default" w:ascii="Times New Roman" w:hAnsi="Times New Roman" w:eastAsia="方正仿宋_GBK" w:cs="Times New Roman"/>
          <w:sz w:val="32"/>
          <w:szCs w:val="32"/>
        </w:rPr>
        <w:t>征地搬迁农村住房，应当支付搬迁费，用于被搬迁户搬家及生产生活设施迁移。搬迁费按户一次性计发，3人以下户（含3人）每户1500元，3人以上户每增加1人增加300元。临时安置户按搬迁两次计发。</w:t>
      </w:r>
    </w:p>
    <w:p>
      <w:pPr>
        <w:keepNext w:val="0"/>
        <w:keepLines w:val="0"/>
        <w:pageBreakBefore w:val="0"/>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实行住房货币安置的，按照应安置建筑面积每平方米每月12元计算，并一次性支付12个月的临时安置费。</w:t>
      </w:r>
    </w:p>
    <w:p>
      <w:pPr>
        <w:pStyle w:val="10"/>
        <w:keepNext w:val="0"/>
        <w:keepLines w:val="0"/>
        <w:pageBreakBefore w:val="0"/>
        <w:kinsoku/>
        <w:wordWrap/>
        <w:topLinePunct w:val="0"/>
        <w:bidi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实行农村宅基地自建安置的，按照符合宅基地申请条件的人员每人每月</w:t>
      </w:r>
      <w:r>
        <w:rPr>
          <w:rFonts w:hint="default" w:ascii="Times New Roman" w:hAnsi="Times New Roman" w:eastAsia="方正仿宋_GBK" w:cs="Times New Roman"/>
          <w:sz w:val="32"/>
          <w:szCs w:val="32"/>
        </w:rPr>
        <w:t>360</w:t>
      </w:r>
      <w:r>
        <w:rPr>
          <w:rFonts w:hint="default" w:ascii="Times New Roman" w:hAnsi="Times New Roman" w:eastAsia="方正仿宋_GBK" w:cs="Times New Roman"/>
          <w:sz w:val="32"/>
          <w:szCs w:val="32"/>
        </w:rPr>
        <w:t>元计算并一次性支付</w:t>
      </w:r>
      <w:r>
        <w:rPr>
          <w:rFonts w:hint="default" w:ascii="Times New Roman" w:hAnsi="Times New Roman" w:eastAsia="方正仿宋_GBK" w:cs="Times New Roman"/>
          <w:sz w:val="32"/>
          <w:szCs w:val="32"/>
        </w:rPr>
        <w:t>18</w:t>
      </w:r>
      <w:r>
        <w:rPr>
          <w:rFonts w:hint="default" w:ascii="Times New Roman" w:hAnsi="Times New Roman" w:eastAsia="方正仿宋_GBK" w:cs="Times New Roman"/>
          <w:sz w:val="32"/>
          <w:szCs w:val="32"/>
        </w:rPr>
        <w:t>个月的临时安置费。</w:t>
      </w:r>
    </w:p>
    <w:p>
      <w:pPr>
        <w:keepNext w:val="0"/>
        <w:keepLines w:val="0"/>
        <w:pageBreakBefore w:val="0"/>
        <w:kinsoku/>
        <w:wordWrap/>
        <w:topLinePunct w:val="0"/>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五、社会保障</w:t>
      </w:r>
    </w:p>
    <w:p>
      <w:pPr>
        <w:keepNext w:val="0"/>
        <w:keepLines w:val="0"/>
        <w:pageBreakBefore w:val="0"/>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对符合条件的征地人员安置对象参加基本养老保险实施缴费补贴。具体如下：</w:t>
      </w:r>
    </w:p>
    <w:p>
      <w:pPr>
        <w:keepNext w:val="0"/>
        <w:keepLines w:val="0"/>
        <w:pageBreakBefore w:val="0"/>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（一）补贴对象。</w:t>
      </w:r>
      <w:r>
        <w:rPr>
          <w:rFonts w:hint="default" w:ascii="Times New Roman" w:hAnsi="Times New Roman" w:eastAsia="方正仿宋_GBK" w:cs="Times New Roman"/>
          <w:sz w:val="32"/>
          <w:szCs w:val="32"/>
        </w:rPr>
        <w:t>确定的征地人员安置对象中，在征收土地公告当月年满16周岁及以上人员。</w:t>
      </w:r>
    </w:p>
    <w:p>
      <w:pPr>
        <w:keepNext w:val="0"/>
        <w:keepLines w:val="0"/>
        <w:pageBreakBefore w:val="0"/>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下人员不属于补贴对象：1.按照或参照渝府发〔2008〕26号文件规定，已参加被征地农转非人员（被征地安置人员）基本养老保险的征地人员安置对象；2.在征收土地公告当月前已死亡，或已出国定居且终止基本养老保险关系的征地人员安置对象。</w:t>
      </w:r>
    </w:p>
    <w:p>
      <w:pPr>
        <w:keepNext w:val="0"/>
        <w:keepLines w:val="0"/>
        <w:pageBreakBefore w:val="0"/>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楷体_GBK" w:cs="Times New Roman"/>
          <w:sz w:val="32"/>
          <w:szCs w:val="32"/>
        </w:rPr>
        <w:t>（二）补贴年限。</w:t>
      </w:r>
      <w:r>
        <w:rPr>
          <w:rFonts w:hint="default" w:ascii="Times New Roman" w:hAnsi="Times New Roman" w:eastAsia="方正仿宋_GBK" w:cs="Times New Roman"/>
          <w:sz w:val="32"/>
          <w:szCs w:val="32"/>
        </w:rPr>
        <w:t>根据补贴对象在征收土地公告当月的年龄确定补贴年限，最低2年，最高15年。具体补贴年限如下：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1"/>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年龄</w:t>
            </w:r>
          </w:p>
        </w:tc>
        <w:tc>
          <w:tcPr>
            <w:tcW w:w="2784" w:type="dxa"/>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补贴年限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男性：50周岁及其以上</w:t>
            </w:r>
          </w:p>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女性：40周岁及其以上</w:t>
            </w:r>
          </w:p>
        </w:tc>
        <w:tc>
          <w:tcPr>
            <w:tcW w:w="2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男性：40周岁至49周岁</w:t>
            </w:r>
          </w:p>
        </w:tc>
        <w:tc>
          <w:tcPr>
            <w:tcW w:w="2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38周岁至39周岁</w:t>
            </w:r>
          </w:p>
        </w:tc>
        <w:tc>
          <w:tcPr>
            <w:tcW w:w="2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36周岁至37周岁</w:t>
            </w:r>
          </w:p>
        </w:tc>
        <w:tc>
          <w:tcPr>
            <w:tcW w:w="2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34周岁至35周岁</w:t>
            </w:r>
          </w:p>
        </w:tc>
        <w:tc>
          <w:tcPr>
            <w:tcW w:w="2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32周岁至33周岁</w:t>
            </w:r>
          </w:p>
        </w:tc>
        <w:tc>
          <w:tcPr>
            <w:tcW w:w="2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30周岁至31周岁</w:t>
            </w:r>
          </w:p>
        </w:tc>
        <w:tc>
          <w:tcPr>
            <w:tcW w:w="2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28周岁至29周岁</w:t>
            </w:r>
          </w:p>
        </w:tc>
        <w:tc>
          <w:tcPr>
            <w:tcW w:w="2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26周岁至27周岁</w:t>
            </w:r>
          </w:p>
        </w:tc>
        <w:tc>
          <w:tcPr>
            <w:tcW w:w="2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24周岁至25周岁</w:t>
            </w:r>
          </w:p>
        </w:tc>
        <w:tc>
          <w:tcPr>
            <w:tcW w:w="2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22周岁至23周岁</w:t>
            </w:r>
          </w:p>
        </w:tc>
        <w:tc>
          <w:tcPr>
            <w:tcW w:w="2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20周岁至21周岁</w:t>
            </w:r>
          </w:p>
        </w:tc>
        <w:tc>
          <w:tcPr>
            <w:tcW w:w="2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18周岁至19周岁</w:t>
            </w:r>
          </w:p>
        </w:tc>
        <w:tc>
          <w:tcPr>
            <w:tcW w:w="2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16周岁至17周岁</w:t>
            </w:r>
          </w:p>
        </w:tc>
        <w:tc>
          <w:tcPr>
            <w:tcW w:w="2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topLinePunct w:val="0"/>
              <w:bidi w:val="0"/>
              <w:spacing w:line="5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2年</w:t>
            </w:r>
          </w:p>
        </w:tc>
      </w:tr>
    </w:tbl>
    <w:p>
      <w:pPr>
        <w:keepNext w:val="0"/>
        <w:keepLines w:val="0"/>
        <w:pageBreakBefore w:val="0"/>
        <w:kinsoku/>
        <w:wordWrap/>
        <w:overflowPunct w:val="0"/>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（三）缴费补贴标准。</w:t>
      </w:r>
      <w:r>
        <w:rPr>
          <w:rFonts w:hint="default" w:ascii="Times New Roman" w:hAnsi="Times New Roman" w:eastAsia="方正仿宋_GBK" w:cs="Times New Roman"/>
          <w:sz w:val="32"/>
          <w:szCs w:val="32"/>
        </w:rPr>
        <w:t>缴费补贴标准为5500元/人/年。</w:t>
      </w:r>
    </w:p>
    <w:p>
      <w:pPr>
        <w:keepNext w:val="0"/>
        <w:keepLines w:val="0"/>
        <w:pageBreakBefore w:val="0"/>
        <w:kinsoku/>
        <w:wordWrap/>
        <w:overflowPunct w:val="0"/>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（四）其他事项。</w:t>
      </w:r>
      <w:r>
        <w:rPr>
          <w:rFonts w:hint="default" w:ascii="Times New Roman" w:hAnsi="Times New Roman" w:eastAsia="方正仿宋_GBK" w:cs="Times New Roman"/>
          <w:sz w:val="32"/>
          <w:szCs w:val="32"/>
        </w:rPr>
        <w:t>具体补贴办法及其他有关规定，按照《重庆市人民政府办公厅关于做好征地人员安置对象参加基本养老保险并实施缴费补贴政策有关工作的通知》（渝府办发〔2021〕96号）执行。</w:t>
      </w:r>
    </w:p>
    <w:p>
      <w:pPr>
        <w:keepNext w:val="0"/>
        <w:keepLines w:val="0"/>
        <w:pageBreakBefore w:val="0"/>
        <w:kinsoku/>
        <w:wordWrap/>
        <w:topLinePunct w:val="0"/>
        <w:bidi w:val="0"/>
        <w:adjustRightInd w:val="0"/>
        <w:snapToGrid w:val="0"/>
        <w:spacing w:line="560" w:lineRule="exact"/>
        <w:ind w:firstLine="640" w:firstLineChars="200"/>
        <w:textAlignment w:val="auto"/>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六、其他事项</w:t>
      </w:r>
    </w:p>
    <w:p>
      <w:pPr>
        <w:keepNext w:val="0"/>
        <w:keepLines w:val="0"/>
        <w:pageBreakBefore w:val="0"/>
        <w:kinsoku/>
        <w:wordWrap/>
        <w:overflowPunct w:val="0"/>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（一）涉及生产经营活动搬迁的：</w:t>
      </w:r>
      <w:r>
        <w:rPr>
          <w:rFonts w:hint="default" w:ascii="Times New Roman" w:hAnsi="Times New Roman" w:eastAsia="方正仿宋_GBK" w:cs="Times New Roman"/>
          <w:sz w:val="32"/>
          <w:szCs w:val="32"/>
        </w:rPr>
        <w:t xml:space="preserve">生产经营活动搬迁补助。征收土地预公告发布之日，持有合法证照且从事生产经营活动的，应当综合考虑生产经营年限、规模、类别、搬迁损失、搬迁难易度等因素，对生产经营者一次性给予搬迁补助费，具体标准： </w:t>
      </w:r>
    </w:p>
    <w:p>
      <w:pPr>
        <w:keepNext w:val="0"/>
        <w:keepLines w:val="0"/>
        <w:pageBreakBefore w:val="0"/>
        <w:kinsoku/>
        <w:wordWrap/>
        <w:overflowPunct w:val="0"/>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农业企业。种植企业，规模化花卉苗木种植按实际种植面积每亩1万元至1.5万元计算一次性搬迁补助费，规模化果园种植按实际种植面积未挂果的每亩7000元、挂果的每亩9000元计算一次性搬迁补助费；规模化畜禽养殖（专业户），存栏牛3头以上、猪羊狗20头以上、鸡鸭鹅兔200只以上为养殖专业户，按牛每头1000元、猪每头80元、羊狗每头30元、鸡鸭鹅兔每只6元计算一次性搬迁补助费；规模化水产养殖，按养殖水面测绘面积每亩2000元计算一次性搬迁补助费。</w:t>
      </w:r>
    </w:p>
    <w:p>
      <w:pPr>
        <w:keepNext w:val="0"/>
        <w:keepLines w:val="0"/>
        <w:pageBreakBefore w:val="0"/>
        <w:kinsoku/>
        <w:wordWrap/>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工业企业。按所搬迁设施设备评估净值的20%计算一次性搬迁补助费；搬迁后丧失使用价值的，按照设施设备评估净值计算一次性搬迁补助费。</w:t>
      </w:r>
    </w:p>
    <w:p>
      <w:pPr>
        <w:keepNext w:val="0"/>
        <w:keepLines w:val="0"/>
        <w:pageBreakBefore w:val="0"/>
        <w:kinsoku/>
        <w:wordWrap/>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旅游（商业、餐饮等）企业。按用于经营服务房屋合法建筑面积不高于每平方米400元计算一次性搬迁补助费。</w:t>
      </w:r>
    </w:p>
    <w:p>
      <w:pPr>
        <w:keepNext w:val="0"/>
        <w:keepLines w:val="0"/>
        <w:pageBreakBefore w:val="0"/>
        <w:kinsoku/>
        <w:wordWrap/>
        <w:overflowPunct w:val="0"/>
        <w:topLinePunct w:val="0"/>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（二）下列设施及设备按以下标准一次性给予补偿：</w:t>
      </w:r>
    </w:p>
    <w:p>
      <w:pPr>
        <w:keepNext w:val="0"/>
        <w:keepLines w:val="0"/>
        <w:pageBreakBefore w:val="0"/>
        <w:kinsoku/>
        <w:wordWrap/>
        <w:overflowPunct w:val="0"/>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1.</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sz w:val="32"/>
          <w:szCs w:val="32"/>
        </w:rPr>
        <w:t>农村房屋初装水、电、气凡能提供安装时的有效发票或合同，按</w:t>
      </w:r>
      <w:bookmarkStart w:id="0" w:name="_Hlk96691131"/>
      <w:r>
        <w:rPr>
          <w:rFonts w:hint="default" w:ascii="Times New Roman" w:hAnsi="Times New Roman" w:eastAsia="方正仿宋_GBK" w:cs="Times New Roman"/>
          <w:sz w:val="32"/>
          <w:szCs w:val="32"/>
        </w:rPr>
        <w:t>发票或合同</w:t>
      </w:r>
      <w:bookmarkEnd w:id="0"/>
      <w:r>
        <w:rPr>
          <w:rFonts w:hint="default" w:ascii="Times New Roman" w:hAnsi="Times New Roman" w:eastAsia="方正仿宋_GBK" w:cs="Times New Roman"/>
          <w:sz w:val="32"/>
          <w:szCs w:val="32"/>
        </w:rPr>
        <w:t>标准进行补助。</w:t>
      </w:r>
    </w:p>
    <w:p>
      <w:pPr>
        <w:keepNext w:val="0"/>
        <w:keepLines w:val="0"/>
        <w:pageBreakBefore w:val="0"/>
        <w:kinsoku/>
        <w:wordWrap/>
        <w:overflowPunct w:val="0"/>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不能提供有效发票或合同，按以下标准一次性补助。广电宽带网闭路电视为670元/户、地面卫星接收器小片网闭路电视为380元/个、电表600元/户，50千瓦以下动力电1380元/户，50千瓦以上动力电1680元/户，水表780元/户，天燃气3500元/户，太阳能热水器800元/个，空调柜机300元/台、空调挂机200元/台，花椒烤灶1800元/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蜂</w:t>
      </w:r>
      <w:r>
        <w:rPr>
          <w:rFonts w:hint="default" w:ascii="Times New Roman" w:hAnsi="Times New Roman" w:eastAsia="方正仿宋_GBK" w:cs="Times New Roman"/>
          <w:sz w:val="32"/>
          <w:szCs w:val="32"/>
          <w:lang w:eastAsia="zh-CN"/>
        </w:rPr>
        <w:t>箱</w:t>
      </w:r>
      <w:r>
        <w:rPr>
          <w:rFonts w:hint="default" w:ascii="Times New Roman" w:hAnsi="Times New Roman" w:eastAsia="方正仿宋_GBK" w:cs="Times New Roman"/>
          <w:sz w:val="32"/>
          <w:szCs w:val="32"/>
        </w:rPr>
        <w:t>300元/</w:t>
      </w:r>
      <w:r>
        <w:rPr>
          <w:rFonts w:hint="default" w:ascii="Times New Roman" w:hAnsi="Times New Roman" w:eastAsia="方正仿宋_GBK" w:cs="Times New Roman"/>
          <w:sz w:val="32"/>
          <w:szCs w:val="32"/>
        </w:rPr>
        <w:t> 桶</w:t>
      </w:r>
      <w:r>
        <w:rPr>
          <w:rFonts w:hint="default" w:ascii="Times New Roman" w:hAnsi="Times New Roman" w:eastAsia="方正仿宋_GBK" w:cs="Times New Roman"/>
          <w:sz w:val="32"/>
          <w:szCs w:val="32"/>
        </w:rPr>
        <w:t>。</w:t>
      </w:r>
    </w:p>
    <w:p>
      <w:pPr>
        <w:keepNext w:val="0"/>
        <w:keepLines w:val="0"/>
        <w:pageBreakBefore w:val="0"/>
        <w:kinsoku/>
        <w:wordWrap/>
        <w:overflowPunct w:val="0"/>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农村村民住宅（简易结构建筑除外）限期内搬迁的，原房补偿标准的20%给予奖励，其中：按时配合丈量房屋按6%发放奖励，每推迟一天扣100元/人，直至扣完为止；按时签订协议按10%发放奖励，每推迟一天扣100元/人，直至扣完为止；按时腾空房屋按4%发放奖励，每推迟一天扣100元/人，直至扣完为止。</w:t>
      </w:r>
    </w:p>
    <w:p>
      <w:pPr>
        <w:keepNext w:val="0"/>
        <w:keepLines w:val="0"/>
        <w:pageBreakBefore w:val="0"/>
        <w:kinsoku/>
        <w:wordWrap/>
        <w:overflowPunct w:val="0"/>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w:t>
      </w:r>
      <w:r>
        <w:rPr>
          <w:rFonts w:hint="default" w:ascii="Times New Roman" w:hAnsi="Times New Roman" w:eastAsia="方正仿宋_GBK" w:cs="Times New Roman"/>
          <w:sz w:val="32"/>
          <w:szCs w:val="32"/>
        </w:rPr>
        <w:t>被搬迁住房所有权人均不属于住房安置对象的、被搬迁住房所有权人合法拥有两处以上农村住房且不予住房安置的、公益、公共等设施登记为非住宅的房屋和被搬迁住房合法建筑面积扣除应安置建筑面积后剩余房屋面积四类情形，均按其被搬迁房屋重置价格标准的</w:t>
      </w:r>
      <w:r>
        <w:rPr>
          <w:rFonts w:hint="default" w:ascii="Times New Roman" w:hAnsi="Times New Roman" w:eastAsia="方正仿宋_GBK" w:cs="Times New Roman"/>
          <w:sz w:val="32"/>
          <w:szCs w:val="32"/>
        </w:rPr>
        <w:t>50%</w:t>
      </w:r>
      <w:r>
        <w:rPr>
          <w:rFonts w:hint="default" w:ascii="Times New Roman" w:hAnsi="Times New Roman" w:eastAsia="方正仿宋_GBK" w:cs="Times New Roman"/>
          <w:sz w:val="32"/>
          <w:szCs w:val="32"/>
        </w:rPr>
        <w:t>予以补助。</w:t>
      </w:r>
    </w:p>
    <w:p>
      <w:pPr>
        <w:keepNext w:val="0"/>
        <w:keepLines w:val="0"/>
        <w:pageBreakBefore w:val="0"/>
        <w:kinsoku/>
        <w:wordWrap/>
        <w:overflowPunct w:val="0"/>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sz w:val="32"/>
          <w:szCs w:val="32"/>
        </w:rPr>
        <w:t>（五）</w:t>
      </w:r>
      <w:r>
        <w:rPr>
          <w:rFonts w:hint="default" w:ascii="Times New Roman" w:hAnsi="Times New Roman" w:eastAsia="方正仿宋_GBK" w:cs="Times New Roman"/>
          <w:sz w:val="32"/>
          <w:szCs w:val="32"/>
        </w:rPr>
        <w:t>房屋的装饰装修补助标准按照</w:t>
      </w:r>
      <w:r>
        <w:rPr>
          <w:rFonts w:hint="default" w:ascii="Times New Roman" w:hAnsi="Times New Roman" w:eastAsia="方正仿宋_GBK" w:cs="Times New Roman"/>
          <w:bCs/>
          <w:sz w:val="32"/>
          <w:szCs w:val="32"/>
        </w:rPr>
        <w:t>《重庆市江津区集体土地征收补偿安置实施办法》（江津府发</w:t>
      </w:r>
      <w:r>
        <w:rPr>
          <w:rFonts w:hint="default" w:ascii="Times New Roman" w:hAnsi="Times New Roman" w:eastAsia="方正仿宋_GBK" w:cs="Times New Roman"/>
          <w:sz w:val="32"/>
          <w:szCs w:val="32"/>
        </w:rPr>
        <w:t>〔2021〕15</w:t>
      </w:r>
      <w:r>
        <w:rPr>
          <w:rFonts w:hint="default" w:ascii="Times New Roman" w:hAnsi="Times New Roman" w:eastAsia="方正仿宋_GBK" w:cs="Times New Roman"/>
          <w:bCs/>
          <w:sz w:val="32"/>
          <w:szCs w:val="32"/>
        </w:rPr>
        <w:t>号）附件</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bCs/>
          <w:sz w:val="32"/>
          <w:szCs w:val="32"/>
        </w:rPr>
        <w:t>相关规定执行。</w:t>
      </w:r>
    </w:p>
    <w:p>
      <w:pPr>
        <w:pStyle w:val="10"/>
        <w:keepNext w:val="0"/>
        <w:keepLines w:val="0"/>
        <w:pageBreakBefore w:val="0"/>
        <w:kinsoku/>
        <w:wordWrap/>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bidi="ar-SA"/>
        </w:rPr>
        <w:t>（六）</w:t>
      </w:r>
      <w:r>
        <w:rPr>
          <w:rFonts w:hint="default" w:ascii="Times New Roman" w:hAnsi="Times New Roman" w:eastAsia="方正仿宋_GBK" w:cs="Times New Roman"/>
          <w:color w:val="auto"/>
          <w:sz w:val="32"/>
          <w:szCs w:val="32"/>
        </w:rPr>
        <w:t>未经审批的简易结构房屋，砖柱（石柱、木柱、钢柱）石棉瓦盖（油毡、玻纤瓦、彩钢盖）按80元/平方米给予拆除补助，其他简易棚房按50元/平方米给予拆除补助。</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楷体_GBK" w:cs="Times New Roman"/>
          <w:color w:val="auto"/>
          <w:sz w:val="32"/>
          <w:szCs w:val="32"/>
          <w:lang w:val="en-US" w:eastAsia="zh-CN" w:bidi="ar-SA"/>
        </w:rPr>
        <w:t>（七）</w:t>
      </w:r>
      <w:r>
        <w:rPr>
          <w:rFonts w:hint="default" w:ascii="Times New Roman" w:hAnsi="Times New Roman" w:eastAsia="方正仿宋_GBK" w:cs="Times New Roman"/>
          <w:b w:val="0"/>
          <w:bCs/>
          <w:sz w:val="32"/>
          <w:szCs w:val="32"/>
          <w:lang w:val="en-US" w:eastAsia="zh-CN"/>
        </w:rPr>
        <w:t>补偿原则。为了体现公平合理补偿原则，对</w:t>
      </w:r>
      <w:r>
        <w:rPr>
          <w:rFonts w:hint="default" w:ascii="Times New Roman" w:hAnsi="Times New Roman" w:eastAsia="方正仿宋_GBK" w:cs="Times New Roman"/>
          <w:sz w:val="32"/>
          <w:szCs w:val="32"/>
          <w:lang w:val="en-US" w:eastAsia="zh-CN"/>
        </w:rPr>
        <w:t>原已按当时征地政策实施补偿安置的</w:t>
      </w:r>
      <w:r>
        <w:rPr>
          <w:rFonts w:hint="default" w:ascii="Times New Roman" w:hAnsi="Times New Roman" w:eastAsia="方正仿宋_GBK" w:cs="Times New Roman"/>
          <w:sz w:val="32"/>
          <w:szCs w:val="32"/>
          <w:lang w:val="en-US" w:eastAsia="zh-CN"/>
        </w:rPr>
        <w:t>土地</w:t>
      </w:r>
      <w:r>
        <w:rPr>
          <w:rFonts w:hint="default" w:ascii="Times New Roman" w:hAnsi="Times New Roman" w:eastAsia="方正仿宋_GBK" w:cs="Times New Roman"/>
          <w:sz w:val="32"/>
          <w:szCs w:val="32"/>
          <w:lang w:val="en-US" w:eastAsia="zh-CN"/>
        </w:rPr>
        <w:t>，此次征地不再重复补偿和安置</w:t>
      </w:r>
      <w:r>
        <w:rPr>
          <w:rFonts w:hint="default" w:ascii="Times New Roman" w:hAnsi="Times New Roman" w:eastAsia="方正仿宋_GBK" w:cs="Times New Roman"/>
          <w:b w:val="0"/>
          <w:bCs/>
          <w:sz w:val="32"/>
          <w:szCs w:val="32"/>
          <w:lang w:val="en-US" w:eastAsia="zh-CN"/>
        </w:rPr>
        <w:t>。</w:t>
      </w:r>
    </w:p>
    <w:p>
      <w:pPr>
        <w:pStyle w:val="10"/>
        <w:keepNext w:val="0"/>
        <w:keepLines w:val="0"/>
        <w:pageBreakBefore w:val="0"/>
        <w:kinsoku/>
        <w:wordWrap/>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p>
    <w:p>
      <w:pPr>
        <w:pStyle w:val="10"/>
        <w:keepNext w:val="0"/>
        <w:keepLines w:val="0"/>
        <w:pageBreakBefore w:val="0"/>
        <w:kinsoku/>
        <w:wordWrap/>
        <w:topLinePunct w:val="0"/>
        <w:bidi w:val="0"/>
        <w:spacing w:line="560" w:lineRule="exact"/>
        <w:textAlignment w:val="auto"/>
        <w:rPr>
          <w:rFonts w:hint="default" w:ascii="Times New Roman" w:hAnsi="Times New Roman" w:cs="Times New Roman"/>
        </w:rPr>
      </w:pPr>
    </w:p>
    <w:p>
      <w:pPr>
        <w:pStyle w:val="10"/>
        <w:keepNext w:val="0"/>
        <w:keepLines w:val="0"/>
        <w:pageBreakBefore w:val="0"/>
        <w:widowControl w:val="0"/>
        <w:kinsoku/>
        <w:wordWrap/>
        <w:overflowPunct w:val="0"/>
        <w:topLinePunct w:val="0"/>
        <w:bidi w:val="0"/>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附件：1.</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土地分类面积和征地安置人员情况表</w:t>
      </w:r>
    </w:p>
    <w:p>
      <w:pPr>
        <w:pStyle w:val="10"/>
        <w:keepNext w:val="0"/>
        <w:keepLines w:val="0"/>
        <w:pageBreakBefore w:val="0"/>
        <w:widowControl w:val="0"/>
        <w:kinsoku/>
        <w:wordWrap/>
        <w:overflowPunct w:val="0"/>
        <w:topLinePunct w:val="0"/>
        <w:bidi w:val="0"/>
        <w:spacing w:line="560" w:lineRule="exact"/>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2.</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土地补偿费和安置补助</w:t>
      </w:r>
      <w:bookmarkStart w:id="1" w:name="_GoBack"/>
      <w:bookmarkEnd w:id="1"/>
      <w:r>
        <w:rPr>
          <w:rFonts w:hint="default" w:ascii="Times New Roman" w:hAnsi="Times New Roman" w:eastAsia="方正仿宋_GBK" w:cs="Times New Roman"/>
          <w:color w:val="auto"/>
          <w:sz w:val="32"/>
          <w:szCs w:val="32"/>
        </w:rPr>
        <w:t>费明细表</w:t>
      </w:r>
    </w:p>
    <w:p>
      <w:pPr>
        <w:pStyle w:val="10"/>
        <w:keepNext w:val="0"/>
        <w:keepLines w:val="0"/>
        <w:pageBreakBefore w:val="0"/>
        <w:widowControl w:val="0"/>
        <w:kinsoku/>
        <w:wordWrap/>
        <w:overflowPunct w:val="0"/>
        <w:topLinePunct w:val="0"/>
        <w:bidi w:val="0"/>
        <w:spacing w:line="560" w:lineRule="exact"/>
        <w:jc w:val="both"/>
        <w:textAlignment w:val="auto"/>
        <w:rPr>
          <w:rFonts w:hint="default" w:ascii="Times New Roman" w:hAnsi="Times New Roman" w:eastAsia="方正仿宋_GBK" w:cs="Times New Roman"/>
          <w:color w:val="auto"/>
          <w:sz w:val="32"/>
          <w:szCs w:val="32"/>
        </w:rPr>
        <w:sectPr>
          <w:footerReference r:id="rId3" w:type="default"/>
          <w:pgSz w:w="11900" w:h="16838"/>
          <w:pgMar w:top="2098" w:right="1474" w:bottom="1984" w:left="1587" w:header="851" w:footer="1247" w:gutter="0"/>
          <w:pgBorders>
            <w:top w:val="none" w:sz="0" w:space="0"/>
            <w:left w:val="none" w:sz="0" w:space="0"/>
            <w:bottom w:val="none" w:sz="0" w:space="0"/>
            <w:right w:val="none" w:sz="0" w:space="0"/>
          </w:pgBorders>
          <w:cols w:space="720" w:num="1"/>
          <w:docGrid w:linePitch="312" w:charSpace="0"/>
        </w:sectPr>
      </w:pPr>
    </w:p>
    <w:tbl>
      <w:tblPr>
        <w:tblStyle w:val="7"/>
        <w:tblW w:w="140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4"/>
        <w:gridCol w:w="1068"/>
        <w:gridCol w:w="1770"/>
        <w:gridCol w:w="1156"/>
        <w:gridCol w:w="1454"/>
        <w:gridCol w:w="1138"/>
        <w:gridCol w:w="1217"/>
        <w:gridCol w:w="1575"/>
        <w:gridCol w:w="1350"/>
        <w:gridCol w:w="1125"/>
        <w:gridCol w:w="1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8707"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topLinePunct w:val="0"/>
              <w:bidi w:val="0"/>
              <w:spacing w:line="56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附件1</w:t>
            </w:r>
          </w:p>
        </w:tc>
        <w:tc>
          <w:tcPr>
            <w:tcW w:w="1575" w:type="dxa"/>
            <w:tcBorders>
              <w:top w:val="nil"/>
              <w:left w:val="nil"/>
              <w:bottom w:val="nil"/>
              <w:right w:val="nil"/>
            </w:tcBorders>
            <w:shd w:val="clear" w:color="auto" w:fill="auto"/>
            <w:vAlign w:val="center"/>
          </w:tcPr>
          <w:p>
            <w:pPr>
              <w:keepNext w:val="0"/>
              <w:keepLines w:val="0"/>
              <w:pageBreakBefore w:val="0"/>
              <w:kinsoku/>
              <w:wordWrap/>
              <w:topLinePunct w:val="0"/>
              <w:bidi w:val="0"/>
              <w:spacing w:line="560" w:lineRule="exact"/>
              <w:jc w:val="center"/>
              <w:rPr>
                <w:rFonts w:hint="default" w:ascii="Times New Roman" w:hAnsi="Times New Roman" w:eastAsia="宋体" w:cs="Times New Roman"/>
                <w:i w:val="0"/>
                <w:iCs w:val="0"/>
                <w:color w:val="000000"/>
                <w:sz w:val="22"/>
                <w:szCs w:val="22"/>
                <w:u w:val="none"/>
              </w:rPr>
            </w:pPr>
          </w:p>
        </w:tc>
        <w:tc>
          <w:tcPr>
            <w:tcW w:w="1350" w:type="dxa"/>
            <w:tcBorders>
              <w:top w:val="nil"/>
              <w:left w:val="nil"/>
              <w:bottom w:val="nil"/>
              <w:right w:val="nil"/>
            </w:tcBorders>
            <w:shd w:val="clear" w:color="auto" w:fill="auto"/>
            <w:vAlign w:val="center"/>
          </w:tcPr>
          <w:p>
            <w:pPr>
              <w:keepNext w:val="0"/>
              <w:keepLines w:val="0"/>
              <w:pageBreakBefore w:val="0"/>
              <w:kinsoku/>
              <w:wordWrap/>
              <w:topLinePunct w:val="0"/>
              <w:bidi w:val="0"/>
              <w:spacing w:line="560" w:lineRule="exact"/>
              <w:jc w:val="center"/>
              <w:rPr>
                <w:rFonts w:hint="default" w:ascii="Times New Roman" w:hAnsi="Times New Roman" w:eastAsia="宋体" w:cs="Times New Roman"/>
                <w:i w:val="0"/>
                <w:iCs w:val="0"/>
                <w:color w:val="000000"/>
                <w:sz w:val="22"/>
                <w:szCs w:val="22"/>
                <w:u w:val="none"/>
              </w:rPr>
            </w:pPr>
          </w:p>
        </w:tc>
        <w:tc>
          <w:tcPr>
            <w:tcW w:w="1125" w:type="dxa"/>
            <w:tcBorders>
              <w:top w:val="nil"/>
              <w:left w:val="nil"/>
              <w:bottom w:val="nil"/>
              <w:right w:val="nil"/>
            </w:tcBorders>
            <w:shd w:val="clear" w:color="auto" w:fill="auto"/>
            <w:vAlign w:val="center"/>
          </w:tcPr>
          <w:p>
            <w:pPr>
              <w:keepNext w:val="0"/>
              <w:keepLines w:val="0"/>
              <w:pageBreakBefore w:val="0"/>
              <w:kinsoku/>
              <w:wordWrap/>
              <w:topLinePunct w:val="0"/>
              <w:bidi w:val="0"/>
              <w:spacing w:line="560" w:lineRule="exact"/>
              <w:jc w:val="center"/>
              <w:rPr>
                <w:rFonts w:hint="default" w:ascii="Times New Roman" w:hAnsi="Times New Roman" w:eastAsia="宋体" w:cs="Times New Roman"/>
                <w:i w:val="0"/>
                <w:iCs w:val="0"/>
                <w:color w:val="000000"/>
                <w:sz w:val="22"/>
                <w:szCs w:val="22"/>
                <w:u w:val="none"/>
              </w:rPr>
            </w:pPr>
          </w:p>
        </w:tc>
        <w:tc>
          <w:tcPr>
            <w:tcW w:w="1295" w:type="dxa"/>
            <w:tcBorders>
              <w:top w:val="nil"/>
              <w:left w:val="nil"/>
              <w:bottom w:val="nil"/>
              <w:right w:val="nil"/>
            </w:tcBorders>
            <w:shd w:val="clear" w:color="auto" w:fill="auto"/>
            <w:vAlign w:val="center"/>
          </w:tcPr>
          <w:p>
            <w:pPr>
              <w:keepNext w:val="0"/>
              <w:keepLines w:val="0"/>
              <w:pageBreakBefore w:val="0"/>
              <w:kinsoku/>
              <w:wordWrap/>
              <w:topLinePunct w:val="0"/>
              <w:bidi w:val="0"/>
              <w:spacing w:line="56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5" w:hRule="atLeast"/>
        </w:trPr>
        <w:tc>
          <w:tcPr>
            <w:tcW w:w="14052" w:type="dxa"/>
            <w:gridSpan w:val="11"/>
            <w:vMerge w:val="restart"/>
            <w:tcBorders>
              <w:top w:val="nil"/>
              <w:left w:val="nil"/>
              <w:bottom w:val="nil"/>
              <w:right w:val="nil"/>
            </w:tcBorders>
            <w:shd w:val="clear" w:color="auto" w:fill="auto"/>
            <w:vAlign w:val="center"/>
          </w:tcPr>
          <w:p>
            <w:pPr>
              <w:keepNext w:val="0"/>
              <w:keepLines w:val="0"/>
              <w:pageBreakBefore w:val="0"/>
              <w:widowControl/>
              <w:suppressLineNumbers w:val="0"/>
              <w:kinsoku/>
              <w:wordWrap/>
              <w:topLinePunct w:val="0"/>
              <w:bidi w:val="0"/>
              <w:spacing w:line="560" w:lineRule="exact"/>
              <w:jc w:val="center"/>
              <w:textAlignment w:val="center"/>
              <w:rPr>
                <w:rFonts w:hint="default" w:ascii="Times New Roman" w:hAnsi="Times New Roman" w:eastAsia="宋体" w:cs="Times New Roman"/>
                <w:i w:val="0"/>
                <w:iCs w:val="0"/>
                <w:color w:val="000000"/>
                <w:sz w:val="52"/>
                <w:szCs w:val="52"/>
                <w:u w:val="none"/>
              </w:rPr>
            </w:pPr>
            <w:r>
              <w:rPr>
                <w:rFonts w:hint="default" w:ascii="Times New Roman" w:hAnsi="Times New Roman" w:eastAsia="方正小标宋_GBK" w:cs="Times New Roman"/>
                <w:b w:val="0"/>
                <w:bCs w:val="0"/>
                <w:i w:val="0"/>
                <w:iCs w:val="0"/>
                <w:color w:val="000000"/>
                <w:kern w:val="0"/>
                <w:sz w:val="52"/>
                <w:szCs w:val="52"/>
                <w:u w:val="none"/>
                <w:lang w:val="en-US" w:eastAsia="zh-CN" w:bidi="ar"/>
              </w:rPr>
              <w:t>土地分类面积和征地安置人员情况表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14052" w:type="dxa"/>
            <w:gridSpan w:val="11"/>
            <w:vMerge w:val="continue"/>
            <w:tcBorders>
              <w:top w:val="nil"/>
              <w:left w:val="nil"/>
              <w:bottom w:val="nil"/>
              <w:right w:val="nil"/>
            </w:tcBorders>
            <w:shd w:val="clear" w:color="auto" w:fill="auto"/>
            <w:vAlign w:val="center"/>
          </w:tcPr>
          <w:p>
            <w:pPr>
              <w:keepNext w:val="0"/>
              <w:keepLines w:val="0"/>
              <w:pageBreakBefore w:val="0"/>
              <w:kinsoku/>
              <w:wordWrap/>
              <w:topLinePunct w:val="0"/>
              <w:bidi w:val="0"/>
              <w:spacing w:line="560" w:lineRule="exact"/>
              <w:jc w:val="center"/>
              <w:rPr>
                <w:rFonts w:hint="default" w:ascii="Times New Roman" w:hAnsi="Times New Roman" w:eastAsia="宋体" w:cs="Times New Roman"/>
                <w:i w:val="0"/>
                <w:iCs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904" w:type="dxa"/>
            <w:tcBorders>
              <w:top w:val="nil"/>
              <w:left w:val="nil"/>
              <w:bottom w:val="nil"/>
              <w:right w:val="nil"/>
            </w:tcBorders>
            <w:shd w:val="clear" w:color="auto" w:fill="auto"/>
            <w:vAlign w:val="top"/>
          </w:tcPr>
          <w:p>
            <w:pPr>
              <w:keepNext w:val="0"/>
              <w:keepLines w:val="0"/>
              <w:pageBreakBefore w:val="0"/>
              <w:kinsoku/>
              <w:wordWrap/>
              <w:topLinePunct w:val="0"/>
              <w:bidi w:val="0"/>
              <w:spacing w:line="560" w:lineRule="exact"/>
              <w:jc w:val="left"/>
              <w:rPr>
                <w:rFonts w:hint="default" w:ascii="Times New Roman" w:hAnsi="Times New Roman" w:eastAsia="宋体" w:cs="Times New Roman"/>
                <w:i w:val="0"/>
                <w:iCs w:val="0"/>
                <w:color w:val="000000"/>
                <w:sz w:val="32"/>
                <w:szCs w:val="32"/>
                <w:u w:val="none"/>
              </w:rPr>
            </w:pPr>
          </w:p>
        </w:tc>
        <w:tc>
          <w:tcPr>
            <w:tcW w:w="1068" w:type="dxa"/>
            <w:tcBorders>
              <w:top w:val="nil"/>
              <w:left w:val="nil"/>
              <w:bottom w:val="nil"/>
              <w:right w:val="nil"/>
            </w:tcBorders>
            <w:shd w:val="clear" w:color="auto" w:fill="auto"/>
            <w:vAlign w:val="top"/>
          </w:tcPr>
          <w:p>
            <w:pPr>
              <w:keepNext w:val="0"/>
              <w:keepLines w:val="0"/>
              <w:pageBreakBefore w:val="0"/>
              <w:kinsoku/>
              <w:wordWrap/>
              <w:topLinePunct w:val="0"/>
              <w:bidi w:val="0"/>
              <w:spacing w:line="560" w:lineRule="exact"/>
              <w:jc w:val="left"/>
              <w:rPr>
                <w:rFonts w:hint="default" w:ascii="Times New Roman" w:hAnsi="Times New Roman" w:eastAsia="宋体" w:cs="Times New Roman"/>
                <w:i w:val="0"/>
                <w:iCs w:val="0"/>
                <w:color w:val="000000"/>
                <w:sz w:val="32"/>
                <w:szCs w:val="32"/>
                <w:u w:val="none"/>
              </w:rPr>
            </w:pPr>
          </w:p>
        </w:tc>
        <w:tc>
          <w:tcPr>
            <w:tcW w:w="1770" w:type="dxa"/>
            <w:tcBorders>
              <w:top w:val="nil"/>
              <w:left w:val="nil"/>
              <w:bottom w:val="nil"/>
              <w:right w:val="nil"/>
            </w:tcBorders>
            <w:shd w:val="clear" w:color="auto" w:fill="auto"/>
            <w:vAlign w:val="top"/>
          </w:tcPr>
          <w:p>
            <w:pPr>
              <w:keepNext w:val="0"/>
              <w:keepLines w:val="0"/>
              <w:pageBreakBefore w:val="0"/>
              <w:kinsoku/>
              <w:wordWrap/>
              <w:topLinePunct w:val="0"/>
              <w:bidi w:val="0"/>
              <w:spacing w:line="560" w:lineRule="exact"/>
              <w:jc w:val="left"/>
              <w:rPr>
                <w:rFonts w:hint="default" w:ascii="Times New Roman" w:hAnsi="Times New Roman" w:eastAsia="宋体" w:cs="Times New Roman"/>
                <w:i w:val="0"/>
                <w:iCs w:val="0"/>
                <w:color w:val="000000"/>
                <w:sz w:val="32"/>
                <w:szCs w:val="32"/>
                <w:u w:val="none"/>
              </w:rPr>
            </w:pPr>
          </w:p>
        </w:tc>
        <w:tc>
          <w:tcPr>
            <w:tcW w:w="1156" w:type="dxa"/>
            <w:tcBorders>
              <w:top w:val="nil"/>
              <w:left w:val="nil"/>
              <w:bottom w:val="nil"/>
              <w:right w:val="nil"/>
            </w:tcBorders>
            <w:shd w:val="clear" w:color="auto" w:fill="auto"/>
            <w:vAlign w:val="top"/>
          </w:tcPr>
          <w:p>
            <w:pPr>
              <w:keepNext w:val="0"/>
              <w:keepLines w:val="0"/>
              <w:pageBreakBefore w:val="0"/>
              <w:kinsoku/>
              <w:wordWrap/>
              <w:topLinePunct w:val="0"/>
              <w:bidi w:val="0"/>
              <w:spacing w:line="560" w:lineRule="exact"/>
              <w:jc w:val="left"/>
              <w:rPr>
                <w:rFonts w:hint="default" w:ascii="Times New Roman" w:hAnsi="Times New Roman" w:eastAsia="宋体" w:cs="Times New Roman"/>
                <w:i w:val="0"/>
                <w:iCs w:val="0"/>
                <w:color w:val="000000"/>
                <w:sz w:val="32"/>
                <w:szCs w:val="32"/>
                <w:u w:val="none"/>
              </w:rPr>
            </w:pPr>
          </w:p>
        </w:tc>
        <w:tc>
          <w:tcPr>
            <w:tcW w:w="1454" w:type="dxa"/>
            <w:tcBorders>
              <w:top w:val="nil"/>
              <w:left w:val="nil"/>
              <w:bottom w:val="nil"/>
              <w:right w:val="nil"/>
            </w:tcBorders>
            <w:shd w:val="clear" w:color="auto" w:fill="auto"/>
            <w:vAlign w:val="top"/>
          </w:tcPr>
          <w:p>
            <w:pPr>
              <w:keepNext w:val="0"/>
              <w:keepLines w:val="0"/>
              <w:pageBreakBefore w:val="0"/>
              <w:kinsoku/>
              <w:wordWrap/>
              <w:topLinePunct w:val="0"/>
              <w:bidi w:val="0"/>
              <w:spacing w:line="560" w:lineRule="exact"/>
              <w:jc w:val="left"/>
              <w:rPr>
                <w:rFonts w:hint="default" w:ascii="Times New Roman" w:hAnsi="Times New Roman" w:eastAsia="宋体" w:cs="Times New Roman"/>
                <w:i w:val="0"/>
                <w:iCs w:val="0"/>
                <w:color w:val="000000"/>
                <w:sz w:val="32"/>
                <w:szCs w:val="32"/>
                <w:u w:val="none"/>
              </w:rPr>
            </w:pPr>
          </w:p>
        </w:tc>
        <w:tc>
          <w:tcPr>
            <w:tcW w:w="1138" w:type="dxa"/>
            <w:tcBorders>
              <w:top w:val="nil"/>
              <w:left w:val="nil"/>
              <w:bottom w:val="nil"/>
              <w:right w:val="nil"/>
            </w:tcBorders>
            <w:shd w:val="clear" w:color="auto" w:fill="auto"/>
            <w:vAlign w:val="center"/>
          </w:tcPr>
          <w:p>
            <w:pPr>
              <w:keepNext w:val="0"/>
              <w:keepLines w:val="0"/>
              <w:pageBreakBefore w:val="0"/>
              <w:kinsoku/>
              <w:wordWrap/>
              <w:topLinePunct w:val="0"/>
              <w:bidi w:val="0"/>
              <w:spacing w:line="560" w:lineRule="exact"/>
              <w:jc w:val="center"/>
              <w:rPr>
                <w:rFonts w:hint="default" w:ascii="Times New Roman" w:hAnsi="Times New Roman" w:eastAsia="宋体" w:cs="Times New Roman"/>
                <w:i w:val="0"/>
                <w:iCs w:val="0"/>
                <w:color w:val="000000"/>
                <w:sz w:val="52"/>
                <w:szCs w:val="52"/>
                <w:u w:val="none"/>
              </w:rPr>
            </w:pPr>
          </w:p>
        </w:tc>
        <w:tc>
          <w:tcPr>
            <w:tcW w:w="6562" w:type="dxa"/>
            <w:gridSpan w:val="5"/>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topLinePunct w:val="0"/>
              <w:bidi w:val="0"/>
              <w:spacing w:line="56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方正黑体_GBK" w:cs="Times New Roman"/>
                <w:b w:val="0"/>
                <w:bCs w:val="0"/>
                <w:i w:val="0"/>
                <w:iCs w:val="0"/>
                <w:color w:val="000000"/>
                <w:kern w:val="0"/>
                <w:sz w:val="22"/>
                <w:szCs w:val="22"/>
                <w:u w:val="none"/>
                <w:lang w:val="en-US" w:eastAsia="zh-CN" w:bidi="ar"/>
              </w:rPr>
              <w:t>单位：亩、人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742" w:type="dxa"/>
            <w:gridSpan w:val="3"/>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topLinePunct w:val="0"/>
              <w:bidi w:val="0"/>
              <w:spacing w:line="560" w:lineRule="exact"/>
              <w:jc w:val="center"/>
              <w:textAlignment w:val="center"/>
              <w:rPr>
                <w:rFonts w:hint="default" w:ascii="Times New Roman" w:hAnsi="Times New Roman" w:eastAsia="方正黑体_GBK" w:cs="Times New Roman"/>
                <w:b w:val="0"/>
                <w:bCs w:val="0"/>
                <w:i w:val="0"/>
                <w:iCs w:val="0"/>
                <w:color w:val="000000"/>
                <w:sz w:val="22"/>
                <w:szCs w:val="22"/>
                <w:u w:val="none"/>
              </w:rPr>
            </w:pPr>
            <w:r>
              <w:rPr>
                <w:rFonts w:hint="default" w:ascii="Times New Roman" w:hAnsi="Times New Roman" w:eastAsia="方正黑体_GBK" w:cs="Times New Roman"/>
                <w:b w:val="0"/>
                <w:bCs w:val="0"/>
                <w:i w:val="0"/>
                <w:iCs w:val="0"/>
                <w:color w:val="000000"/>
                <w:kern w:val="0"/>
                <w:sz w:val="22"/>
                <w:szCs w:val="22"/>
                <w:u w:val="none"/>
                <w:lang w:val="en-US" w:eastAsia="zh-CN" w:bidi="ar"/>
              </w:rPr>
              <w:t>权  属  单  位</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pacing w:line="560" w:lineRule="exact"/>
              <w:jc w:val="center"/>
              <w:textAlignment w:val="center"/>
              <w:rPr>
                <w:rFonts w:hint="default" w:ascii="Times New Roman" w:hAnsi="Times New Roman" w:eastAsia="方正黑体_GBK" w:cs="Times New Roman"/>
                <w:b w:val="0"/>
                <w:bCs w:val="0"/>
                <w:i w:val="0"/>
                <w:iCs w:val="0"/>
                <w:color w:val="000000"/>
                <w:sz w:val="22"/>
                <w:szCs w:val="22"/>
                <w:u w:val="none"/>
              </w:rPr>
            </w:pPr>
            <w:r>
              <w:rPr>
                <w:rFonts w:hint="default" w:ascii="Times New Roman" w:hAnsi="Times New Roman" w:eastAsia="方正黑体_GBK" w:cs="Times New Roman"/>
                <w:b w:val="0"/>
                <w:bCs w:val="0"/>
                <w:i w:val="0"/>
                <w:iCs w:val="0"/>
                <w:color w:val="000000"/>
                <w:kern w:val="0"/>
                <w:sz w:val="22"/>
                <w:szCs w:val="22"/>
                <w:u w:val="none"/>
                <w:lang w:val="en-US" w:eastAsia="zh-CN" w:bidi="ar"/>
              </w:rPr>
              <w:t>本次征地前总面积</w:t>
            </w:r>
          </w:p>
        </w:tc>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pacing w:line="560" w:lineRule="exact"/>
              <w:jc w:val="center"/>
              <w:textAlignment w:val="center"/>
              <w:rPr>
                <w:rFonts w:hint="default" w:ascii="Times New Roman" w:hAnsi="Times New Roman" w:eastAsia="方正黑体_GBK" w:cs="Times New Roman"/>
                <w:b w:val="0"/>
                <w:bCs w:val="0"/>
                <w:i w:val="0"/>
                <w:iCs w:val="0"/>
                <w:color w:val="000000"/>
                <w:sz w:val="22"/>
                <w:szCs w:val="22"/>
                <w:u w:val="none"/>
              </w:rPr>
            </w:pPr>
            <w:r>
              <w:rPr>
                <w:rFonts w:hint="default" w:ascii="Times New Roman" w:hAnsi="Times New Roman" w:eastAsia="方正黑体_GBK" w:cs="Times New Roman"/>
                <w:b w:val="0"/>
                <w:bCs w:val="0"/>
                <w:i w:val="0"/>
                <w:iCs w:val="0"/>
                <w:color w:val="000000"/>
                <w:kern w:val="0"/>
                <w:sz w:val="22"/>
                <w:szCs w:val="22"/>
                <w:u w:val="none"/>
                <w:lang w:val="en-US" w:eastAsia="zh-CN" w:bidi="ar"/>
              </w:rPr>
              <w:t>本次征地前耕地面积</w:t>
            </w:r>
          </w:p>
        </w:tc>
        <w:tc>
          <w:tcPr>
            <w:tcW w:w="6405"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topLinePunct w:val="0"/>
              <w:bidi w:val="0"/>
              <w:spacing w:line="560" w:lineRule="exact"/>
              <w:jc w:val="center"/>
              <w:textAlignment w:val="center"/>
              <w:rPr>
                <w:rFonts w:hint="default" w:ascii="Times New Roman" w:hAnsi="Times New Roman" w:eastAsia="方正黑体_GBK" w:cs="Times New Roman"/>
                <w:b w:val="0"/>
                <w:bCs w:val="0"/>
                <w:i w:val="0"/>
                <w:iCs w:val="0"/>
                <w:color w:val="000000"/>
                <w:sz w:val="22"/>
                <w:szCs w:val="22"/>
                <w:u w:val="none"/>
              </w:rPr>
            </w:pPr>
            <w:r>
              <w:rPr>
                <w:rFonts w:hint="default" w:ascii="Times New Roman" w:hAnsi="Times New Roman" w:eastAsia="方正黑体_GBK" w:cs="Times New Roman"/>
                <w:b w:val="0"/>
                <w:bCs w:val="0"/>
                <w:i w:val="0"/>
                <w:iCs w:val="0"/>
                <w:color w:val="000000"/>
                <w:kern w:val="0"/>
                <w:sz w:val="22"/>
                <w:szCs w:val="22"/>
                <w:u w:val="none"/>
                <w:lang w:val="en-US" w:eastAsia="zh-CN" w:bidi="ar"/>
              </w:rPr>
              <w:t>本次征地分类面积</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pacing w:line="560" w:lineRule="exact"/>
              <w:jc w:val="center"/>
              <w:textAlignment w:val="center"/>
              <w:rPr>
                <w:rFonts w:hint="default" w:ascii="Times New Roman" w:hAnsi="Times New Roman" w:eastAsia="方正黑体_GBK" w:cs="Times New Roman"/>
                <w:b w:val="0"/>
                <w:bCs w:val="0"/>
                <w:i w:val="0"/>
                <w:iCs w:val="0"/>
                <w:color w:val="000000"/>
                <w:sz w:val="22"/>
                <w:szCs w:val="22"/>
                <w:u w:val="none"/>
              </w:rPr>
            </w:pPr>
            <w:r>
              <w:rPr>
                <w:rFonts w:hint="default" w:ascii="Times New Roman" w:hAnsi="Times New Roman" w:eastAsia="方正黑体_GBK" w:cs="Times New Roman"/>
                <w:b w:val="0"/>
                <w:bCs w:val="0"/>
                <w:i w:val="0"/>
                <w:iCs w:val="0"/>
                <w:color w:val="000000"/>
                <w:kern w:val="0"/>
                <w:sz w:val="22"/>
                <w:szCs w:val="22"/>
                <w:u w:val="none"/>
                <w:lang w:val="en-US" w:eastAsia="zh-CN" w:bidi="ar"/>
              </w:rPr>
              <w:t>人员安置     对象人数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742"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topLinePunct w:val="0"/>
              <w:bidi w:val="0"/>
              <w:spacing w:line="560" w:lineRule="exact"/>
              <w:jc w:val="center"/>
              <w:rPr>
                <w:rFonts w:hint="default" w:ascii="Times New Roman" w:hAnsi="Times New Roman" w:eastAsia="宋体" w:cs="Times New Roman"/>
                <w:b/>
                <w:bCs/>
                <w:i w:val="0"/>
                <w:iCs w:val="0"/>
                <w:color w:val="000000"/>
                <w:sz w:val="22"/>
                <w:szCs w:val="22"/>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pacing w:line="560" w:lineRule="exact"/>
              <w:jc w:val="center"/>
              <w:rPr>
                <w:rFonts w:hint="default" w:ascii="Times New Roman" w:hAnsi="Times New Roman" w:eastAsia="宋体" w:cs="Times New Roman"/>
                <w:b/>
                <w:bCs/>
                <w:i w:val="0"/>
                <w:iCs w:val="0"/>
                <w:color w:val="000000"/>
                <w:sz w:val="22"/>
                <w:szCs w:val="22"/>
                <w:u w:val="none"/>
              </w:rPr>
            </w:pPr>
          </w:p>
        </w:tc>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pacing w:line="560" w:lineRule="exact"/>
              <w:jc w:val="center"/>
              <w:rPr>
                <w:rFonts w:hint="default" w:ascii="Times New Roman" w:hAnsi="Times New Roman" w:eastAsia="宋体" w:cs="Times New Roman"/>
                <w:b/>
                <w:bCs/>
                <w:i w:val="0"/>
                <w:iCs w:val="0"/>
                <w:color w:val="000000"/>
                <w:sz w:val="22"/>
                <w:szCs w:val="22"/>
                <w:u w:val="none"/>
              </w:rPr>
            </w:pPr>
          </w:p>
        </w:tc>
        <w:tc>
          <w:tcPr>
            <w:tcW w:w="11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pacing w:line="5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总面积</w:t>
            </w:r>
          </w:p>
        </w:tc>
        <w:tc>
          <w:tcPr>
            <w:tcW w:w="526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pacing w:line="5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  中</w:t>
            </w: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pacing w:line="560" w:lineRule="exact"/>
              <w:jc w:val="center"/>
              <w:rPr>
                <w:rFonts w:hint="default" w:ascii="Times New Roman" w:hAnsi="Times New Roman" w:eastAsia="宋体" w:cs="Times New Roman"/>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742"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792"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农用地</w:t>
            </w:r>
          </w:p>
        </w:tc>
        <w:tc>
          <w:tcPr>
            <w:tcW w:w="13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建设用地</w:t>
            </w:r>
          </w:p>
        </w:tc>
        <w:tc>
          <w:tcPr>
            <w:tcW w:w="11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未利用地</w:t>
            </w: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742"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1217" w:type="dxa"/>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FF0000"/>
                <w:sz w:val="22"/>
                <w:szCs w:val="22"/>
                <w:u w:val="none"/>
              </w:rPr>
            </w:pPr>
          </w:p>
        </w:tc>
        <w:tc>
          <w:tcPr>
            <w:tcW w:w="15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其中： 耕地</w:t>
            </w:r>
          </w:p>
        </w:tc>
        <w:tc>
          <w:tcPr>
            <w:tcW w:w="13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11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珞璜镇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顺江  社区</w:t>
            </w:r>
          </w:p>
        </w:tc>
        <w:tc>
          <w:tcPr>
            <w:tcW w:w="1770" w:type="dxa"/>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凉风岗居民小组</w:t>
            </w:r>
          </w:p>
        </w:tc>
        <w:tc>
          <w:tcPr>
            <w:tcW w:w="11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187.8755</w:t>
            </w:r>
          </w:p>
        </w:tc>
        <w:tc>
          <w:tcPr>
            <w:tcW w:w="145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148.32</w:t>
            </w:r>
          </w:p>
        </w:tc>
        <w:tc>
          <w:tcPr>
            <w:tcW w:w="11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48.897</w:t>
            </w:r>
          </w:p>
        </w:tc>
        <w:tc>
          <w:tcPr>
            <w:tcW w:w="1217"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46.221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31.7055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2.676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12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支坪镇</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仁龙村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新滩村民小组</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774.279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426.1915</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56.9865</w:t>
            </w:r>
          </w:p>
        </w:tc>
        <w:tc>
          <w:tcPr>
            <w:tcW w:w="12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56.76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38.895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0.2265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4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大石包村民小组</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1154.0465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607.172</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63.948</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60.9435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50.801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3.0045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合   计</w:t>
            </w:r>
          </w:p>
        </w:tc>
        <w:tc>
          <w:tcPr>
            <w:tcW w:w="1156" w:type="dxa"/>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1454" w:type="dxa"/>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113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169.8315</w:t>
            </w:r>
          </w:p>
        </w:tc>
        <w:tc>
          <w:tcPr>
            <w:tcW w:w="12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163.9245</w:t>
            </w:r>
          </w:p>
        </w:tc>
        <w:tc>
          <w:tcPr>
            <w:tcW w:w="15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121.4015</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5.907</w:t>
            </w:r>
          </w:p>
        </w:tc>
        <w:tc>
          <w:tcPr>
            <w:tcW w:w="1125" w:type="dxa"/>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12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77</w:t>
            </w:r>
          </w:p>
        </w:tc>
      </w:tr>
    </w:tbl>
    <w:p>
      <w:pPr>
        <w:pStyle w:val="10"/>
        <w:widowControl w:val="0"/>
        <w:spacing w:line="579" w:lineRule="exact"/>
        <w:rPr>
          <w:rFonts w:hint="default" w:ascii="Times New Roman" w:hAnsi="Times New Roman" w:eastAsia="方正黑体_GBK" w:cs="Times New Roman"/>
          <w:sz w:val="32"/>
          <w:szCs w:val="32"/>
        </w:rPr>
      </w:pPr>
    </w:p>
    <w:tbl>
      <w:tblPr>
        <w:tblStyle w:val="7"/>
        <w:tblW w:w="131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8"/>
        <w:gridCol w:w="1041"/>
        <w:gridCol w:w="1035"/>
        <w:gridCol w:w="1041"/>
        <w:gridCol w:w="1127"/>
        <w:gridCol w:w="1254"/>
        <w:gridCol w:w="1254"/>
        <w:gridCol w:w="1133"/>
        <w:gridCol w:w="1127"/>
        <w:gridCol w:w="1127"/>
        <w:gridCol w:w="862"/>
        <w:gridCol w:w="1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0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附件2</w:t>
            </w:r>
          </w:p>
        </w:tc>
        <w:tc>
          <w:tcPr>
            <w:tcW w:w="1035" w:type="dxa"/>
            <w:tcBorders>
              <w:top w:val="nil"/>
              <w:left w:val="nil"/>
              <w:bottom w:val="nil"/>
              <w:right w:val="nil"/>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1035" w:type="dxa"/>
            <w:tcBorders>
              <w:top w:val="nil"/>
              <w:left w:val="nil"/>
              <w:bottom w:val="nil"/>
              <w:right w:val="nil"/>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1035" w:type="dxa"/>
            <w:tcBorders>
              <w:top w:val="nil"/>
              <w:left w:val="nil"/>
              <w:bottom w:val="nil"/>
              <w:right w:val="nil"/>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1035" w:type="dxa"/>
            <w:tcBorders>
              <w:top w:val="nil"/>
              <w:left w:val="nil"/>
              <w:bottom w:val="nil"/>
              <w:right w:val="nil"/>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1152" w:type="dxa"/>
            <w:tcBorders>
              <w:top w:val="nil"/>
              <w:left w:val="nil"/>
              <w:bottom w:val="nil"/>
              <w:right w:val="nil"/>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1152" w:type="dxa"/>
            <w:tcBorders>
              <w:top w:val="nil"/>
              <w:left w:val="nil"/>
              <w:bottom w:val="nil"/>
              <w:right w:val="nil"/>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1035" w:type="dxa"/>
            <w:tcBorders>
              <w:top w:val="nil"/>
              <w:left w:val="nil"/>
              <w:bottom w:val="nil"/>
              <w:right w:val="nil"/>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1035" w:type="dxa"/>
            <w:tcBorders>
              <w:top w:val="nil"/>
              <w:left w:val="nil"/>
              <w:bottom w:val="nil"/>
              <w:right w:val="nil"/>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1035" w:type="dxa"/>
            <w:tcBorders>
              <w:top w:val="nil"/>
              <w:left w:val="nil"/>
              <w:bottom w:val="nil"/>
              <w:right w:val="nil"/>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792" w:type="dxa"/>
            <w:tcBorders>
              <w:top w:val="nil"/>
              <w:left w:val="nil"/>
              <w:bottom w:val="nil"/>
              <w:right w:val="nil"/>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1236" w:type="dxa"/>
            <w:tcBorders>
              <w:top w:val="nil"/>
              <w:left w:val="nil"/>
              <w:bottom w:val="nil"/>
              <w:right w:val="nil"/>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0" w:type="auto"/>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40"/>
                <w:szCs w:val="40"/>
                <w:u w:val="none"/>
              </w:rPr>
            </w:pPr>
            <w:r>
              <w:rPr>
                <w:rFonts w:hint="default" w:ascii="Times New Roman" w:hAnsi="Times New Roman" w:eastAsia="方正小标宋_GBK" w:cs="Times New Roman"/>
                <w:i w:val="0"/>
                <w:iCs w:val="0"/>
                <w:color w:val="000000"/>
                <w:kern w:val="0"/>
                <w:sz w:val="52"/>
                <w:szCs w:val="52"/>
                <w:u w:val="none"/>
                <w:lang w:val="en-US" w:eastAsia="zh-CN" w:bidi="ar"/>
              </w:rPr>
              <w:t>土地补偿费和安置补助费明细表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gridSpan w:val="8"/>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Fonts w:hint="default" w:ascii="Times New Roman" w:hAnsi="Times New Roman" w:eastAsia="方正黑体_GBK" w:cs="Times New Roman"/>
                <w:i w:val="0"/>
                <w:iCs w:val="0"/>
                <w:color w:val="000000"/>
                <w:kern w:val="0"/>
                <w:sz w:val="24"/>
                <w:szCs w:val="24"/>
                <w:u w:val="none"/>
                <w:lang w:val="en-US" w:eastAsia="zh-CN" w:bidi="ar"/>
              </w:rPr>
              <w:t>单位：亩、人、万元/亩、万元/人、万元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被征土地</w:t>
            </w:r>
            <w:r>
              <w:rPr>
                <w:rFonts w:hint="default" w:ascii="Times New Roman" w:hAnsi="Times New Roman" w:eastAsia="方正黑体_GBK" w:cs="Times New Roman"/>
                <w:i w:val="0"/>
                <w:iCs w:val="0"/>
                <w:color w:val="000000"/>
                <w:kern w:val="0"/>
                <w:sz w:val="20"/>
                <w:szCs w:val="20"/>
                <w:u w:val="none"/>
                <w:lang w:val="en-US" w:eastAsia="zh-CN" w:bidi="ar"/>
              </w:rPr>
              <w:br w:type="textWrapping"/>
            </w:r>
            <w:r>
              <w:rPr>
                <w:rFonts w:hint="default" w:ascii="Times New Roman" w:hAnsi="Times New Roman" w:eastAsia="方正黑体_GBK" w:cs="Times New Roman"/>
                <w:i w:val="0"/>
                <w:iCs w:val="0"/>
                <w:color w:val="000000"/>
                <w:kern w:val="0"/>
                <w:sz w:val="20"/>
                <w:szCs w:val="20"/>
                <w:u w:val="none"/>
                <w:lang w:val="en-US" w:eastAsia="zh-CN" w:bidi="ar"/>
              </w:rPr>
              <w:t>所有权人</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征地</w:t>
            </w:r>
            <w:r>
              <w:rPr>
                <w:rFonts w:hint="default" w:ascii="Times New Roman" w:hAnsi="Times New Roman" w:eastAsia="方正黑体_GBK" w:cs="Times New Roman"/>
                <w:i w:val="0"/>
                <w:iCs w:val="0"/>
                <w:color w:val="000000"/>
                <w:kern w:val="0"/>
                <w:sz w:val="20"/>
                <w:szCs w:val="20"/>
                <w:u w:val="none"/>
                <w:lang w:val="en-US" w:eastAsia="zh-CN" w:bidi="ar"/>
              </w:rPr>
              <w:br w:type="textWrapping"/>
            </w:r>
            <w:r>
              <w:rPr>
                <w:rFonts w:hint="default" w:ascii="Times New Roman" w:hAnsi="Times New Roman" w:eastAsia="方正黑体_GBK" w:cs="Times New Roman"/>
                <w:i w:val="0"/>
                <w:iCs w:val="0"/>
                <w:color w:val="000000"/>
                <w:kern w:val="0"/>
                <w:sz w:val="20"/>
                <w:szCs w:val="20"/>
                <w:u w:val="none"/>
                <w:lang w:val="en-US" w:eastAsia="zh-CN" w:bidi="ar"/>
              </w:rPr>
              <w:t>面积</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区片综合地价标准</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土地补偿费金额</w:t>
            </w:r>
          </w:p>
        </w:tc>
        <w:tc>
          <w:tcPr>
            <w:tcW w:w="72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安置补助费</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两费合计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0"/>
                <w:szCs w:val="20"/>
                <w:u w:val="none"/>
              </w:rPr>
            </w:pPr>
          </w:p>
        </w:tc>
        <w:tc>
          <w:tcPr>
            <w:tcW w:w="4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支付后有结余</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支付后无结余</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人员安置对象人数</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安置补助费发放标准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安置补助费结余部分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补偿</w:t>
            </w:r>
            <w:r>
              <w:rPr>
                <w:rFonts w:hint="default" w:ascii="Times New Roman" w:hAnsi="Times New Roman" w:eastAsia="方正黑体_GBK" w:cs="Times New Roman"/>
                <w:i w:val="0"/>
                <w:iCs w:val="0"/>
                <w:color w:val="000000"/>
                <w:kern w:val="0"/>
                <w:sz w:val="20"/>
                <w:szCs w:val="20"/>
                <w:u w:val="none"/>
                <w:lang w:val="en-US" w:eastAsia="zh-CN" w:bidi="ar"/>
              </w:rPr>
              <w:br w:type="textWrapping"/>
            </w:r>
            <w:r>
              <w:rPr>
                <w:rFonts w:hint="default" w:ascii="Times New Roman" w:hAnsi="Times New Roman" w:eastAsia="方正黑体_GBK" w:cs="Times New Roman"/>
                <w:i w:val="0"/>
                <w:iCs w:val="0"/>
                <w:color w:val="000000"/>
                <w:kern w:val="0"/>
                <w:sz w:val="20"/>
                <w:szCs w:val="20"/>
                <w:u w:val="none"/>
                <w:lang w:val="en-US" w:eastAsia="zh-CN" w:bidi="ar"/>
              </w:rPr>
              <w:t>金额</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人员安置对象人数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安置补助费发放标准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补偿</w:t>
            </w:r>
            <w:r>
              <w:rPr>
                <w:rFonts w:hint="default" w:ascii="Times New Roman" w:hAnsi="Times New Roman" w:eastAsia="方正黑体_GBK" w:cs="Times New Roman"/>
                <w:i w:val="0"/>
                <w:iCs w:val="0"/>
                <w:color w:val="000000"/>
                <w:kern w:val="0"/>
                <w:sz w:val="20"/>
                <w:szCs w:val="20"/>
                <w:u w:val="none"/>
                <w:lang w:val="en-US" w:eastAsia="zh-CN" w:bidi="ar"/>
              </w:rPr>
              <w:br w:type="textWrapping"/>
            </w:r>
            <w:r>
              <w:rPr>
                <w:rFonts w:hint="default" w:ascii="Times New Roman" w:hAnsi="Times New Roman" w:eastAsia="方正黑体_GBK" w:cs="Times New Roman"/>
                <w:i w:val="0"/>
                <w:iCs w:val="0"/>
                <w:color w:val="000000"/>
                <w:kern w:val="0"/>
                <w:sz w:val="20"/>
                <w:szCs w:val="20"/>
                <w:u w:val="none"/>
                <w:lang w:val="en-US" w:eastAsia="zh-CN" w:bidi="ar"/>
              </w:rPr>
              <w:t>金额</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珞璜镇      顺江社区凉风岗村民小组</w:t>
            </w:r>
          </w:p>
        </w:tc>
        <w:tc>
          <w:tcPr>
            <w:tcW w:w="10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48.897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5.86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85.9609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200.5755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200.5755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286.5364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支坪镇仁龙村   新滩村民小组</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56.9865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5.86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100.1823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75.3586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233.7586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333.9409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支坪镇       仁龙村大石包村民小组</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63.948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5.86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112.4206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143.5147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262.3147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374.7353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合    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169.8315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298.5638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77</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419.4488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696.6488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995.2126 </w:t>
            </w:r>
          </w:p>
        </w:tc>
      </w:tr>
    </w:tbl>
    <w:p>
      <w:pPr>
        <w:pStyle w:val="2"/>
        <w:wordWrap w:val="0"/>
        <w:ind w:left="0" w:leftChars="0" w:firstLine="0" w:firstLineChars="0"/>
        <w:jc w:val="both"/>
        <w:rPr>
          <w:rFonts w:hint="default" w:ascii="Times New Roman" w:hAnsi="Times New Roman" w:eastAsia="方正仿宋_GBK" w:cs="Times New Roman"/>
          <w:lang w:val="en-US" w:eastAsia="zh-CN"/>
        </w:rPr>
      </w:pPr>
      <w:r>
        <w:rPr>
          <w:rFonts w:hint="default" w:ascii="Times New Roman" w:hAnsi="Times New Roman" w:eastAsia="方正仿宋_GBK" w:cs="Times New Roman"/>
          <w:sz w:val="32"/>
          <w:szCs w:val="32"/>
          <w:lang w:val="en-US" w:eastAsia="zh-CN"/>
        </w:rPr>
        <w:t xml:space="preserve"> </w:t>
      </w:r>
    </w:p>
    <w:sectPr>
      <w:footerReference r:id="rId4" w:type="default"/>
      <w:pgSz w:w="16838" w:h="11900" w:orient="landscape"/>
      <w:pgMar w:top="1134" w:right="1134" w:bottom="1134" w:left="1134" w:header="851" w:footer="737" w:gutter="0"/>
      <w:pgBorders>
        <w:top w:val="none" w:sz="0" w:space="0"/>
        <w:left w:val="none" w:sz="0" w:space="0"/>
        <w:bottom w:val="none" w:sz="0" w:space="0"/>
        <w:right w:val="none" w:sz="0" w:space="0"/>
      </w:pgBorders>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8"/>
        <w:szCs w:val="28"/>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1200" cy="204470"/>
              <wp:effectExtent l="0" t="0" r="0" b="0"/>
              <wp:wrapNone/>
              <wp:docPr id="1" name="文本框 6"/>
              <wp:cNvGraphicFramePr/>
              <a:graphic xmlns:a="http://schemas.openxmlformats.org/drawingml/2006/main">
                <a:graphicData uri="http://schemas.microsoft.com/office/word/2010/wordprocessingShape">
                  <wps:wsp>
                    <wps:cNvSpPr txBox="1"/>
                    <wps:spPr>
                      <a:xfrm>
                        <a:off x="0" y="0"/>
                        <a:ext cx="711200" cy="204470"/>
                      </a:xfrm>
                      <a:prstGeom prst="rect">
                        <a:avLst/>
                      </a:prstGeom>
                      <a:noFill/>
                      <a:ln>
                        <a:noFill/>
                      </a:ln>
                      <a:effectLst/>
                    </wps:spPr>
                    <wps:txbx>
                      <w:txbxContent>
                        <w:p>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6.1pt;width:56pt;mso-position-horizontal:outside;mso-position-horizontal-relative:margin;mso-wrap-style:none;z-index:251660288;mso-width-relative:page;mso-height-relative:page;" filled="f" stroked="f" coordsize="21600,21600" o:gfxdata="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SGsxdEAAAAEAQAADwAAAAAAAAABACAAAAAiAAAAZHJz&#10;L2Rvd25yZXYueG1sUEsBAhQAFAAAAAgAh07iQPyHJXXSAQAApQMAAA4AAAAAAAAAAQAgAAAAIAEA&#10;AGRycy9lMm9Eb2MueG1sUEsFBgAAAAAGAAYAWQEAAGQFAAAAAA==&#10;">
              <v:fill on="f" focussize="0,0"/>
              <v:stroke on="f"/>
              <v:imagedata o:title=""/>
              <o:lock v:ext="edit" aspectratio="f"/>
              <v:textbox inset="0mm,0mm,0mm,0mm" style="mso-fit-shape-to-text:t;">
                <w:txbxContent>
                  <w:p>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18537"/>
    <w:multiLevelType w:val="singleLevel"/>
    <w:tmpl w:val="8A618537"/>
    <w:lvl w:ilvl="0" w:tentative="0">
      <w:start w:val="1"/>
      <w:numFmt w:val="decimal"/>
      <w:suff w:val="space"/>
      <w:lvlText w:val="%1."/>
      <w:lvlJc w:val="left"/>
    </w:lvl>
  </w:abstractNum>
  <w:abstractNum w:abstractNumId="1">
    <w:nsid w:val="3DB296AA"/>
    <w:multiLevelType w:val="singleLevel"/>
    <w:tmpl w:val="3DB296AA"/>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YWU5YzRmMjA5YzQxYmJkMTVhMmFlZTFjZWE4ZjIifQ=="/>
  </w:docVars>
  <w:rsids>
    <w:rsidRoot w:val="00AC1C13"/>
    <w:rsid w:val="0002117A"/>
    <w:rsid w:val="00023E4A"/>
    <w:rsid w:val="00024530"/>
    <w:rsid w:val="00035960"/>
    <w:rsid w:val="00094ACE"/>
    <w:rsid w:val="000A37FD"/>
    <w:rsid w:val="000B2D38"/>
    <w:rsid w:val="000B7C26"/>
    <w:rsid w:val="00100330"/>
    <w:rsid w:val="00117B07"/>
    <w:rsid w:val="0013189D"/>
    <w:rsid w:val="00144AE8"/>
    <w:rsid w:val="00146B66"/>
    <w:rsid w:val="001551B8"/>
    <w:rsid w:val="00161FEF"/>
    <w:rsid w:val="00175C1F"/>
    <w:rsid w:val="001879D5"/>
    <w:rsid w:val="001B7A3C"/>
    <w:rsid w:val="001C0B91"/>
    <w:rsid w:val="001D3390"/>
    <w:rsid w:val="001D7690"/>
    <w:rsid w:val="001F334E"/>
    <w:rsid w:val="001F363F"/>
    <w:rsid w:val="00230626"/>
    <w:rsid w:val="002411A9"/>
    <w:rsid w:val="00244055"/>
    <w:rsid w:val="002713F8"/>
    <w:rsid w:val="0027664C"/>
    <w:rsid w:val="00301F46"/>
    <w:rsid w:val="003039FA"/>
    <w:rsid w:val="00346AED"/>
    <w:rsid w:val="00352DE8"/>
    <w:rsid w:val="00356D05"/>
    <w:rsid w:val="003D1B9A"/>
    <w:rsid w:val="003E01C2"/>
    <w:rsid w:val="003F75C0"/>
    <w:rsid w:val="00422B28"/>
    <w:rsid w:val="00432A49"/>
    <w:rsid w:val="004361FB"/>
    <w:rsid w:val="00465468"/>
    <w:rsid w:val="00493900"/>
    <w:rsid w:val="004B352E"/>
    <w:rsid w:val="004F478E"/>
    <w:rsid w:val="00503299"/>
    <w:rsid w:val="0052059E"/>
    <w:rsid w:val="00586260"/>
    <w:rsid w:val="00595C0D"/>
    <w:rsid w:val="005A3C4D"/>
    <w:rsid w:val="005B1B7F"/>
    <w:rsid w:val="005B369B"/>
    <w:rsid w:val="005E64F7"/>
    <w:rsid w:val="006034C2"/>
    <w:rsid w:val="00610F17"/>
    <w:rsid w:val="00615734"/>
    <w:rsid w:val="00632FE3"/>
    <w:rsid w:val="00636E62"/>
    <w:rsid w:val="00657487"/>
    <w:rsid w:val="00673DF1"/>
    <w:rsid w:val="0067530D"/>
    <w:rsid w:val="006E321D"/>
    <w:rsid w:val="006E76D7"/>
    <w:rsid w:val="006F4F26"/>
    <w:rsid w:val="00740AB3"/>
    <w:rsid w:val="0075583B"/>
    <w:rsid w:val="0075627E"/>
    <w:rsid w:val="00762E7C"/>
    <w:rsid w:val="00786749"/>
    <w:rsid w:val="00796AA9"/>
    <w:rsid w:val="007A54DA"/>
    <w:rsid w:val="007A5B38"/>
    <w:rsid w:val="007C7C2B"/>
    <w:rsid w:val="007D6DB8"/>
    <w:rsid w:val="00844766"/>
    <w:rsid w:val="00853457"/>
    <w:rsid w:val="00855410"/>
    <w:rsid w:val="008649C1"/>
    <w:rsid w:val="008742FF"/>
    <w:rsid w:val="00876E35"/>
    <w:rsid w:val="0088436A"/>
    <w:rsid w:val="00893FD1"/>
    <w:rsid w:val="00895188"/>
    <w:rsid w:val="008D6E3C"/>
    <w:rsid w:val="008E0566"/>
    <w:rsid w:val="008E0683"/>
    <w:rsid w:val="00907AB2"/>
    <w:rsid w:val="009124EB"/>
    <w:rsid w:val="00926F9B"/>
    <w:rsid w:val="009460EF"/>
    <w:rsid w:val="00950BBC"/>
    <w:rsid w:val="009C5CFC"/>
    <w:rsid w:val="009D2B12"/>
    <w:rsid w:val="009F6B44"/>
    <w:rsid w:val="00A03CA2"/>
    <w:rsid w:val="00A1085E"/>
    <w:rsid w:val="00A42BC1"/>
    <w:rsid w:val="00A43B6A"/>
    <w:rsid w:val="00A50CA2"/>
    <w:rsid w:val="00A579D7"/>
    <w:rsid w:val="00A75BA9"/>
    <w:rsid w:val="00A8138A"/>
    <w:rsid w:val="00A87A29"/>
    <w:rsid w:val="00AA2FB7"/>
    <w:rsid w:val="00AB056E"/>
    <w:rsid w:val="00AB346E"/>
    <w:rsid w:val="00AC1C13"/>
    <w:rsid w:val="00AC6782"/>
    <w:rsid w:val="00B04BC9"/>
    <w:rsid w:val="00B14477"/>
    <w:rsid w:val="00B31BC0"/>
    <w:rsid w:val="00B334CD"/>
    <w:rsid w:val="00B37934"/>
    <w:rsid w:val="00B45F41"/>
    <w:rsid w:val="00B50572"/>
    <w:rsid w:val="00B77881"/>
    <w:rsid w:val="00B92CD5"/>
    <w:rsid w:val="00BA11CD"/>
    <w:rsid w:val="00BD1353"/>
    <w:rsid w:val="00C05621"/>
    <w:rsid w:val="00C1585A"/>
    <w:rsid w:val="00C3302C"/>
    <w:rsid w:val="00C50041"/>
    <w:rsid w:val="00C52194"/>
    <w:rsid w:val="00C858F6"/>
    <w:rsid w:val="00C951D0"/>
    <w:rsid w:val="00CA1DBA"/>
    <w:rsid w:val="00CA3A12"/>
    <w:rsid w:val="00D020A6"/>
    <w:rsid w:val="00D1655D"/>
    <w:rsid w:val="00D2401A"/>
    <w:rsid w:val="00D57169"/>
    <w:rsid w:val="00D57497"/>
    <w:rsid w:val="00D637D8"/>
    <w:rsid w:val="00D7281B"/>
    <w:rsid w:val="00D8166C"/>
    <w:rsid w:val="00DE36C4"/>
    <w:rsid w:val="00DF7EA3"/>
    <w:rsid w:val="00E004C2"/>
    <w:rsid w:val="00E04FD6"/>
    <w:rsid w:val="00E06527"/>
    <w:rsid w:val="00E34E07"/>
    <w:rsid w:val="00E405D9"/>
    <w:rsid w:val="00E527F5"/>
    <w:rsid w:val="00E7189E"/>
    <w:rsid w:val="00EA67AD"/>
    <w:rsid w:val="00EA751B"/>
    <w:rsid w:val="00EB662C"/>
    <w:rsid w:val="00ED170A"/>
    <w:rsid w:val="00ED63E3"/>
    <w:rsid w:val="00EE1599"/>
    <w:rsid w:val="00EF45BF"/>
    <w:rsid w:val="00F067BE"/>
    <w:rsid w:val="00F15B02"/>
    <w:rsid w:val="00F35B50"/>
    <w:rsid w:val="00F45B34"/>
    <w:rsid w:val="00F66476"/>
    <w:rsid w:val="00F86A11"/>
    <w:rsid w:val="00FE0EA6"/>
    <w:rsid w:val="00FE491B"/>
    <w:rsid w:val="011C78C5"/>
    <w:rsid w:val="021D70DF"/>
    <w:rsid w:val="025A5C68"/>
    <w:rsid w:val="02CB1CF7"/>
    <w:rsid w:val="03B75018"/>
    <w:rsid w:val="04626CF0"/>
    <w:rsid w:val="057563DB"/>
    <w:rsid w:val="06897EFF"/>
    <w:rsid w:val="06E42DAF"/>
    <w:rsid w:val="07AC130B"/>
    <w:rsid w:val="07D76C51"/>
    <w:rsid w:val="07D773FC"/>
    <w:rsid w:val="07FC0BA5"/>
    <w:rsid w:val="084762C4"/>
    <w:rsid w:val="08C3745F"/>
    <w:rsid w:val="097C4153"/>
    <w:rsid w:val="097E6B2D"/>
    <w:rsid w:val="09ED4C49"/>
    <w:rsid w:val="0CC467C9"/>
    <w:rsid w:val="0F3831F5"/>
    <w:rsid w:val="0F9242C9"/>
    <w:rsid w:val="115F077F"/>
    <w:rsid w:val="122F07E2"/>
    <w:rsid w:val="141D3579"/>
    <w:rsid w:val="147A6004"/>
    <w:rsid w:val="14F378D0"/>
    <w:rsid w:val="158352AF"/>
    <w:rsid w:val="1644531A"/>
    <w:rsid w:val="17314C53"/>
    <w:rsid w:val="1925218E"/>
    <w:rsid w:val="197902A7"/>
    <w:rsid w:val="1A1D7EB0"/>
    <w:rsid w:val="1A902975"/>
    <w:rsid w:val="1E2D4A6A"/>
    <w:rsid w:val="1EBF6279"/>
    <w:rsid w:val="1F713AC0"/>
    <w:rsid w:val="1F7A2F69"/>
    <w:rsid w:val="20B708CF"/>
    <w:rsid w:val="211A4822"/>
    <w:rsid w:val="21A451E4"/>
    <w:rsid w:val="223B5A35"/>
    <w:rsid w:val="22C159A4"/>
    <w:rsid w:val="22E06385"/>
    <w:rsid w:val="246F59BA"/>
    <w:rsid w:val="27707C5E"/>
    <w:rsid w:val="27E308A4"/>
    <w:rsid w:val="28F96F5B"/>
    <w:rsid w:val="29543123"/>
    <w:rsid w:val="2A434BED"/>
    <w:rsid w:val="2AFB1731"/>
    <w:rsid w:val="2DD652E2"/>
    <w:rsid w:val="2E2626ED"/>
    <w:rsid w:val="2EA4372E"/>
    <w:rsid w:val="2EC8340B"/>
    <w:rsid w:val="301E4E37"/>
    <w:rsid w:val="30A478F5"/>
    <w:rsid w:val="31F44686"/>
    <w:rsid w:val="32786CD9"/>
    <w:rsid w:val="32A7158A"/>
    <w:rsid w:val="32C47C16"/>
    <w:rsid w:val="35845656"/>
    <w:rsid w:val="361433DA"/>
    <w:rsid w:val="36275451"/>
    <w:rsid w:val="368762D1"/>
    <w:rsid w:val="36EB4FAA"/>
    <w:rsid w:val="38CD76BE"/>
    <w:rsid w:val="38E5105E"/>
    <w:rsid w:val="39232E07"/>
    <w:rsid w:val="3963219B"/>
    <w:rsid w:val="3AC84793"/>
    <w:rsid w:val="3AE26093"/>
    <w:rsid w:val="3AFD443D"/>
    <w:rsid w:val="3CD623CC"/>
    <w:rsid w:val="3CFE5B77"/>
    <w:rsid w:val="3D6707F7"/>
    <w:rsid w:val="3F0C3E74"/>
    <w:rsid w:val="3F87704C"/>
    <w:rsid w:val="3F93165A"/>
    <w:rsid w:val="40B37EF1"/>
    <w:rsid w:val="421B1721"/>
    <w:rsid w:val="42CB7BE2"/>
    <w:rsid w:val="43882D11"/>
    <w:rsid w:val="43AF7DA3"/>
    <w:rsid w:val="44F468B0"/>
    <w:rsid w:val="46D057AD"/>
    <w:rsid w:val="47426DF8"/>
    <w:rsid w:val="4AB25FA1"/>
    <w:rsid w:val="4BB5465E"/>
    <w:rsid w:val="4BDD1679"/>
    <w:rsid w:val="4CBD64EE"/>
    <w:rsid w:val="4ED2072A"/>
    <w:rsid w:val="4FF4763C"/>
    <w:rsid w:val="506444A8"/>
    <w:rsid w:val="52B6743A"/>
    <w:rsid w:val="54146C57"/>
    <w:rsid w:val="54996AF4"/>
    <w:rsid w:val="54B70F2B"/>
    <w:rsid w:val="55EE11F9"/>
    <w:rsid w:val="56E5369E"/>
    <w:rsid w:val="581347C9"/>
    <w:rsid w:val="5878114F"/>
    <w:rsid w:val="5A64353F"/>
    <w:rsid w:val="5AF6767A"/>
    <w:rsid w:val="5B2D4472"/>
    <w:rsid w:val="617556F4"/>
    <w:rsid w:val="657114C3"/>
    <w:rsid w:val="658E7007"/>
    <w:rsid w:val="666D3126"/>
    <w:rsid w:val="66F177E9"/>
    <w:rsid w:val="67B030E9"/>
    <w:rsid w:val="69C1652D"/>
    <w:rsid w:val="69CA2441"/>
    <w:rsid w:val="6A2E6166"/>
    <w:rsid w:val="6AB64522"/>
    <w:rsid w:val="6B3727A3"/>
    <w:rsid w:val="6B4F3F91"/>
    <w:rsid w:val="6B9955F5"/>
    <w:rsid w:val="6D8309BC"/>
    <w:rsid w:val="6E4C2E04"/>
    <w:rsid w:val="6F3D017C"/>
    <w:rsid w:val="6F527D12"/>
    <w:rsid w:val="70814BED"/>
    <w:rsid w:val="709B605D"/>
    <w:rsid w:val="70EB6CB7"/>
    <w:rsid w:val="711B191E"/>
    <w:rsid w:val="71346AA6"/>
    <w:rsid w:val="714D4ACF"/>
    <w:rsid w:val="74945351"/>
    <w:rsid w:val="756772E5"/>
    <w:rsid w:val="7698727F"/>
    <w:rsid w:val="77164CF2"/>
    <w:rsid w:val="7880182E"/>
    <w:rsid w:val="78B10039"/>
    <w:rsid w:val="794F63E4"/>
    <w:rsid w:val="79954417"/>
    <w:rsid w:val="7A021B5D"/>
    <w:rsid w:val="7A201A47"/>
    <w:rsid w:val="7B2A7B4E"/>
    <w:rsid w:val="7BA4138D"/>
    <w:rsid w:val="7C61544D"/>
    <w:rsid w:val="7DBB23A0"/>
    <w:rsid w:val="7DDD367E"/>
    <w:rsid w:val="7E543940"/>
    <w:rsid w:val="7F00043A"/>
    <w:rsid w:val="7FD90169"/>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2"/>
    <w:qFormat/>
    <w:uiPriority w:val="99"/>
    <w:pPr>
      <w:ind w:firstLine="100" w:firstLineChars="100"/>
    </w:pPr>
    <w:rPr>
      <w:rFonts w:ascii="Times New Roman"/>
      <w:szCs w:val="24"/>
    </w:rPr>
  </w:style>
  <w:style w:type="paragraph" w:styleId="3">
    <w:name w:val="Body Text"/>
    <w:basedOn w:val="1"/>
    <w:next w:val="1"/>
    <w:link w:val="11"/>
    <w:qFormat/>
    <w:uiPriority w:val="99"/>
    <w:pPr>
      <w:ind w:left="100" w:firstLine="559"/>
      <w:jc w:val="left"/>
    </w:pPr>
    <w:rPr>
      <w:rFonts w:ascii="宋体"/>
      <w:sz w:val="28"/>
      <w:szCs w:val="28"/>
      <w:lang w:eastAsia="en-US"/>
    </w:rPr>
  </w:style>
  <w:style w:type="paragraph" w:styleId="4">
    <w:name w:val="Balloon Text"/>
    <w:basedOn w:val="1"/>
    <w:link w:val="13"/>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paragraph" w:customStyle="1" w:styleId="10">
    <w:name w:val="Default"/>
    <w:qFormat/>
    <w:uiPriority w:val="99"/>
    <w:pPr>
      <w:autoSpaceDE w:val="0"/>
      <w:autoSpaceDN w:val="0"/>
      <w:adjustRightInd w:val="0"/>
    </w:pPr>
    <w:rPr>
      <w:rFonts w:ascii="Arial" w:hAnsi="Arial" w:eastAsia="宋体" w:cs="Arial"/>
      <w:color w:val="000000"/>
      <w:sz w:val="24"/>
      <w:szCs w:val="24"/>
      <w:lang w:val="en-US" w:eastAsia="zh-CN" w:bidi="ar-SA"/>
    </w:rPr>
  </w:style>
  <w:style w:type="character" w:customStyle="1" w:styleId="11">
    <w:name w:val="正文文本 Char"/>
    <w:basedOn w:val="8"/>
    <w:link w:val="3"/>
    <w:semiHidden/>
    <w:qFormat/>
    <w:locked/>
    <w:uiPriority w:val="99"/>
    <w:rPr>
      <w:rFonts w:cs="Times New Roman"/>
      <w:kern w:val="0"/>
      <w:sz w:val="24"/>
      <w:szCs w:val="24"/>
    </w:rPr>
  </w:style>
  <w:style w:type="character" w:customStyle="1" w:styleId="12">
    <w:name w:val="正文首行缩进 Char"/>
    <w:basedOn w:val="11"/>
    <w:link w:val="2"/>
    <w:semiHidden/>
    <w:qFormat/>
    <w:locked/>
    <w:uiPriority w:val="99"/>
  </w:style>
  <w:style w:type="character" w:customStyle="1" w:styleId="13">
    <w:name w:val="批注框文本 Char"/>
    <w:basedOn w:val="8"/>
    <w:link w:val="4"/>
    <w:semiHidden/>
    <w:qFormat/>
    <w:locked/>
    <w:uiPriority w:val="99"/>
    <w:rPr>
      <w:rFonts w:cs="Times New Roman"/>
      <w:kern w:val="0"/>
      <w:sz w:val="2"/>
    </w:rPr>
  </w:style>
  <w:style w:type="character" w:customStyle="1" w:styleId="14">
    <w:name w:val="页脚 Char"/>
    <w:basedOn w:val="8"/>
    <w:link w:val="5"/>
    <w:semiHidden/>
    <w:qFormat/>
    <w:locked/>
    <w:uiPriority w:val="99"/>
    <w:rPr>
      <w:rFonts w:cs="Times New Roman"/>
      <w:kern w:val="0"/>
      <w:sz w:val="18"/>
      <w:szCs w:val="18"/>
    </w:rPr>
  </w:style>
  <w:style w:type="character" w:customStyle="1" w:styleId="15">
    <w:name w:val="页眉 Char"/>
    <w:basedOn w:val="8"/>
    <w:link w:val="6"/>
    <w:semiHidden/>
    <w:qFormat/>
    <w:locked/>
    <w:uiPriority w:val="99"/>
    <w:rPr>
      <w:rFonts w:cs="Times New Roman"/>
      <w:kern w:val="0"/>
      <w:sz w:val="18"/>
      <w:szCs w:val="18"/>
    </w:rPr>
  </w:style>
  <w:style w:type="paragraph" w:customStyle="1" w:styleId="16">
    <w:name w:val="List Paragraph1"/>
    <w:basedOn w:val="1"/>
    <w:qFormat/>
    <w:uiPriority w:val="99"/>
    <w:pPr>
      <w:ind w:firstLine="200" w:firstLineChars="200"/>
    </w:pPr>
  </w:style>
  <w:style w:type="character" w:customStyle="1" w:styleId="17">
    <w:name w:val="fontstyle01"/>
    <w:basedOn w:val="8"/>
    <w:qFormat/>
    <w:uiPriority w:val="99"/>
    <w:rPr>
      <w:rFonts w:ascii="方正仿宋_GBK" w:eastAsia="方正仿宋_GBK" w:cs="Times New Roman"/>
      <w:color w:val="000000"/>
      <w:sz w:val="32"/>
      <w:szCs w:val="32"/>
    </w:rPr>
  </w:style>
  <w:style w:type="paragraph" w:customStyle="1" w:styleId="18">
    <w:name w:val="默认"/>
    <w:qFormat/>
    <w:uiPriority w:val="99"/>
    <w:rPr>
      <w:rFonts w:ascii="Helvetica" w:hAnsi="Helvetica" w:eastAsia="宋体" w:cs="Times New Roman"/>
      <w:color w:val="000000"/>
      <w:sz w:val="22"/>
      <w:szCs w:val="22"/>
      <w:lang w:val="en-US" w:eastAsia="zh-CN" w:bidi="ar-SA"/>
    </w:rPr>
  </w:style>
  <w:style w:type="paragraph" w:customStyle="1" w:styleId="19">
    <w:name w:val="xl67"/>
    <w:basedOn w:val="1"/>
    <w:qFormat/>
    <w:uiPriority w:val="99"/>
    <w:pPr>
      <w:widowControl/>
      <w:spacing w:before="100" w:beforeAutospacing="1" w:after="100" w:afterAutospacing="1"/>
      <w:jc w:val="center"/>
    </w:pPr>
    <w:rPr>
      <w:rFonts w:ascii="宋体"/>
      <w:sz w:val="24"/>
    </w:rPr>
  </w:style>
  <w:style w:type="paragraph" w:customStyle="1" w:styleId="20">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szCs w:val="21"/>
    </w:rPr>
  </w:style>
  <w:style w:type="character" w:customStyle="1" w:styleId="21">
    <w:name w:val="font01"/>
    <w:basedOn w:val="8"/>
    <w:qFormat/>
    <w:uiPriority w:val="0"/>
    <w:rPr>
      <w:rFonts w:hint="eastAsia" w:ascii="宋体" w:hAnsi="宋体" w:eastAsia="宋体" w:cs="宋体"/>
      <w:color w:val="000000"/>
      <w:sz w:val="22"/>
      <w:szCs w:val="22"/>
      <w:u w:val="none"/>
    </w:rPr>
  </w:style>
  <w:style w:type="character" w:customStyle="1" w:styleId="22">
    <w:name w:val="font51"/>
    <w:basedOn w:val="8"/>
    <w:qFormat/>
    <w:uiPriority w:val="0"/>
    <w:rPr>
      <w:rFonts w:hint="eastAsia" w:ascii="宋体" w:hAnsi="宋体" w:eastAsia="宋体" w:cs="宋体"/>
      <w:b/>
      <w:bCs/>
      <w:color w:val="000000"/>
      <w:sz w:val="22"/>
      <w:szCs w:val="22"/>
      <w:u w:val="none"/>
    </w:rPr>
  </w:style>
  <w:style w:type="character" w:customStyle="1" w:styleId="23">
    <w:name w:val="font11"/>
    <w:basedOn w:val="8"/>
    <w:qFormat/>
    <w:uiPriority w:val="0"/>
    <w:rPr>
      <w:rFonts w:hint="eastAsia" w:ascii="方正仿宋_GBK" w:hAnsi="方正仿宋_GBK" w:eastAsia="方正仿宋_GBK" w:cs="方正仿宋_GBK"/>
      <w:color w:val="000000"/>
      <w:sz w:val="24"/>
      <w:szCs w:val="24"/>
      <w:u w:val="none"/>
    </w:rPr>
  </w:style>
  <w:style w:type="character" w:customStyle="1" w:styleId="24">
    <w:name w:val="font21"/>
    <w:basedOn w:val="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3317</Words>
  <Characters>3583</Characters>
  <Lines>39</Lines>
  <Paragraphs>11</Paragraphs>
  <TotalTime>26</TotalTime>
  <ScaleCrop>false</ScaleCrop>
  <LinksUpToDate>false</LinksUpToDate>
  <CharactersWithSpaces>3624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2021-08-27T06:33:00Z</dcterms:created>
  <dc:creator>HY</dc:creator>
  <cp:lastModifiedBy>admin</cp:lastModifiedBy>
  <cp:lastPrinted>2025-07-31T06:41:26Z</cp:lastPrinted>
  <dcterms:modified xsi:type="dcterms:W3CDTF">2025-07-31T06:43:43Z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44BB90B0FE0C4DCA9C9E0C02AB2D8279_13</vt:lpwstr>
  </property>
  <property fmtid="{D5CDD505-2E9C-101B-9397-08002B2CF9AE}" pid="4" name="KSOTemplateDocerSaveRecord">
    <vt:lpwstr>eyJoZGlkIjoiOGViZjQ0YzlmOTM4ZGExOTMxY2Y2ZjU5OTE5NzBiMzkiLCJ1c2VySWQiOiI3NTczNzMzMzEifQ==</vt:lpwstr>
  </property>
</Properties>
</file>